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57BF" w14:textId="77777777" w:rsidR="007931A0" w:rsidRDefault="00676A80" w:rsidP="007931A0">
      <w:pPr>
        <w:pStyle w:val="2DocTitle"/>
      </w:pPr>
      <w:r>
        <w:rPr>
          <w:noProof/>
        </w:rPr>
        <w:drawing>
          <wp:inline distT="0" distB="0" distL="0" distR="0" wp14:anchorId="1C795853" wp14:editId="1C795854">
            <wp:extent cx="3600450" cy="2515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0676" cy="2522782"/>
                    </a:xfrm>
                    <a:prstGeom prst="rect">
                      <a:avLst/>
                    </a:prstGeom>
                    <a:noFill/>
                  </pic:spPr>
                </pic:pic>
              </a:graphicData>
            </a:graphic>
          </wp:inline>
        </w:drawing>
      </w:r>
    </w:p>
    <w:p w14:paraId="1C7957C0" w14:textId="77777777" w:rsidR="00676A80" w:rsidRPr="00E113A1" w:rsidRDefault="00676A80" w:rsidP="007931A0">
      <w:pPr>
        <w:pStyle w:val="2DocTitle"/>
      </w:pPr>
      <w:r>
        <w:t>Data Breach Policy</w:t>
      </w:r>
    </w:p>
    <w:p w14:paraId="1C7957C1" w14:textId="77777777" w:rsidR="00676A80" w:rsidRPr="0061582A" w:rsidRDefault="00676A80" w:rsidP="00676A80"/>
    <w:p w14:paraId="1C7957C2" w14:textId="77777777" w:rsidR="00676A80" w:rsidRPr="00213A5A" w:rsidRDefault="00676A80" w:rsidP="00676A80">
      <w:pPr>
        <w:pStyle w:val="16ptHeading"/>
        <w:rPr>
          <w:sz w:val="28"/>
        </w:rPr>
      </w:pPr>
      <w:r>
        <w:br w:type="page"/>
      </w:r>
      <w:r w:rsidRPr="00213A5A">
        <w:rPr>
          <w:sz w:val="28"/>
        </w:rPr>
        <w:lastRenderedPageBreak/>
        <w:t xml:space="preserve"> </w:t>
      </w:r>
    </w:p>
    <w:p w14:paraId="1C7957C3" w14:textId="77777777" w:rsidR="00676A80" w:rsidRPr="00213A5A" w:rsidRDefault="00676A80" w:rsidP="00676A80">
      <w:pPr>
        <w:tabs>
          <w:tab w:val="right" w:pos="9781"/>
        </w:tabs>
        <w:rPr>
          <w:sz w:val="28"/>
        </w:rPr>
      </w:pPr>
      <w:r w:rsidRPr="00213A5A">
        <w:rPr>
          <w:sz w:val="28"/>
        </w:rPr>
        <w:t>Contents</w:t>
      </w:r>
      <w:r w:rsidRPr="00213A5A">
        <w:rPr>
          <w:sz w:val="28"/>
        </w:rPr>
        <w:tab/>
        <w:t>Page</w:t>
      </w:r>
    </w:p>
    <w:p w14:paraId="1C7957C4" w14:textId="77777777" w:rsidR="00676A80" w:rsidRPr="004609DA" w:rsidRDefault="00676A80" w:rsidP="00676A80">
      <w:pPr>
        <w:pStyle w:val="TOC1"/>
        <w:rPr>
          <w:rFonts w:ascii="Calibri" w:eastAsia="Times New Roman" w:hAnsi="Calibri"/>
          <w:noProof/>
          <w:szCs w:val="22"/>
        </w:rPr>
      </w:pPr>
      <w:r>
        <w:fldChar w:fldCharType="begin"/>
      </w:r>
      <w:r>
        <w:instrText xml:space="preserve"> TOC \h \z \t "1 Numbering Heading Level 1,1" </w:instrText>
      </w:r>
      <w:r>
        <w:fldChar w:fldCharType="separate"/>
      </w:r>
      <w:hyperlink w:anchor="_Toc507063406" w:history="1">
        <w:r w:rsidRPr="00C62B5E">
          <w:rPr>
            <w:rStyle w:val="Hyperlink"/>
            <w:noProof/>
          </w:rPr>
          <w:t>1</w:t>
        </w:r>
        <w:r w:rsidRPr="004609DA">
          <w:rPr>
            <w:rFonts w:ascii="Calibri" w:eastAsia="Times New Roman" w:hAnsi="Calibri"/>
            <w:noProof/>
            <w:szCs w:val="22"/>
          </w:rPr>
          <w:tab/>
        </w:r>
        <w:r w:rsidRPr="00C62B5E">
          <w:rPr>
            <w:rStyle w:val="Hyperlink"/>
            <w:noProof/>
          </w:rPr>
          <w:t>Introduction</w:t>
        </w:r>
        <w:r>
          <w:rPr>
            <w:noProof/>
            <w:webHidden/>
          </w:rPr>
          <w:tab/>
        </w:r>
        <w:r>
          <w:rPr>
            <w:noProof/>
            <w:webHidden/>
          </w:rPr>
          <w:fldChar w:fldCharType="begin"/>
        </w:r>
        <w:r>
          <w:rPr>
            <w:noProof/>
            <w:webHidden/>
          </w:rPr>
          <w:instrText xml:space="preserve"> PAGEREF _Toc507063406 \h </w:instrText>
        </w:r>
        <w:r>
          <w:rPr>
            <w:noProof/>
            <w:webHidden/>
          </w:rPr>
        </w:r>
        <w:r>
          <w:rPr>
            <w:noProof/>
            <w:webHidden/>
          </w:rPr>
          <w:fldChar w:fldCharType="separate"/>
        </w:r>
        <w:r w:rsidR="00A606B7">
          <w:rPr>
            <w:noProof/>
            <w:webHidden/>
          </w:rPr>
          <w:t>3</w:t>
        </w:r>
        <w:r>
          <w:rPr>
            <w:noProof/>
            <w:webHidden/>
          </w:rPr>
          <w:fldChar w:fldCharType="end"/>
        </w:r>
      </w:hyperlink>
    </w:p>
    <w:p w14:paraId="1C7957C5" w14:textId="77777777" w:rsidR="00676A80" w:rsidRPr="004609DA" w:rsidRDefault="00676A80" w:rsidP="00676A80">
      <w:pPr>
        <w:pStyle w:val="TOC1"/>
        <w:rPr>
          <w:rFonts w:ascii="Calibri" w:eastAsia="Times New Roman" w:hAnsi="Calibri"/>
          <w:noProof/>
          <w:szCs w:val="22"/>
        </w:rPr>
      </w:pPr>
      <w:hyperlink w:anchor="_Toc507063407" w:history="1">
        <w:r w:rsidRPr="00C62B5E">
          <w:rPr>
            <w:rStyle w:val="Hyperlink"/>
            <w:noProof/>
          </w:rPr>
          <w:t>2</w:t>
        </w:r>
        <w:r w:rsidRPr="004609DA">
          <w:rPr>
            <w:rFonts w:ascii="Calibri" w:eastAsia="Times New Roman" w:hAnsi="Calibri"/>
            <w:noProof/>
            <w:szCs w:val="22"/>
          </w:rPr>
          <w:tab/>
        </w:r>
        <w:r w:rsidRPr="00C62B5E">
          <w:rPr>
            <w:rStyle w:val="Hyperlink"/>
            <w:noProof/>
          </w:rPr>
          <w:t>Aims and objectives</w:t>
        </w:r>
        <w:r>
          <w:rPr>
            <w:noProof/>
            <w:webHidden/>
          </w:rPr>
          <w:tab/>
        </w:r>
        <w:r>
          <w:rPr>
            <w:noProof/>
            <w:webHidden/>
          </w:rPr>
          <w:fldChar w:fldCharType="begin"/>
        </w:r>
        <w:r>
          <w:rPr>
            <w:noProof/>
            <w:webHidden/>
          </w:rPr>
          <w:instrText xml:space="preserve"> PAGEREF _Toc507063407 \h </w:instrText>
        </w:r>
        <w:r>
          <w:rPr>
            <w:noProof/>
            <w:webHidden/>
          </w:rPr>
        </w:r>
        <w:r>
          <w:rPr>
            <w:noProof/>
            <w:webHidden/>
          </w:rPr>
          <w:fldChar w:fldCharType="separate"/>
        </w:r>
        <w:r w:rsidR="00A606B7">
          <w:rPr>
            <w:noProof/>
            <w:webHidden/>
          </w:rPr>
          <w:t>3</w:t>
        </w:r>
        <w:r>
          <w:rPr>
            <w:noProof/>
            <w:webHidden/>
          </w:rPr>
          <w:fldChar w:fldCharType="end"/>
        </w:r>
      </w:hyperlink>
    </w:p>
    <w:p w14:paraId="1C7957C6" w14:textId="77777777" w:rsidR="00676A80" w:rsidRPr="004609DA" w:rsidRDefault="00676A80" w:rsidP="00676A80">
      <w:pPr>
        <w:pStyle w:val="TOC1"/>
        <w:rPr>
          <w:rFonts w:ascii="Calibri" w:eastAsia="Times New Roman" w:hAnsi="Calibri"/>
          <w:noProof/>
          <w:szCs w:val="22"/>
        </w:rPr>
      </w:pPr>
      <w:hyperlink w:anchor="_Toc507063408" w:history="1">
        <w:r w:rsidRPr="00C62B5E">
          <w:rPr>
            <w:rStyle w:val="Hyperlink"/>
            <w:noProof/>
          </w:rPr>
          <w:t>3</w:t>
        </w:r>
        <w:r w:rsidRPr="004609DA">
          <w:rPr>
            <w:rFonts w:ascii="Calibri" w:eastAsia="Times New Roman" w:hAnsi="Calibri"/>
            <w:noProof/>
            <w:szCs w:val="22"/>
          </w:rPr>
          <w:tab/>
        </w:r>
        <w:r w:rsidRPr="00C62B5E">
          <w:rPr>
            <w:rStyle w:val="Hyperlink"/>
            <w:noProof/>
          </w:rPr>
          <w:t>Policy Statement</w:t>
        </w:r>
        <w:r>
          <w:rPr>
            <w:noProof/>
            <w:webHidden/>
          </w:rPr>
          <w:tab/>
        </w:r>
        <w:r>
          <w:rPr>
            <w:noProof/>
            <w:webHidden/>
          </w:rPr>
          <w:fldChar w:fldCharType="begin"/>
        </w:r>
        <w:r>
          <w:rPr>
            <w:noProof/>
            <w:webHidden/>
          </w:rPr>
          <w:instrText xml:space="preserve"> PAGEREF _Toc507063408 \h </w:instrText>
        </w:r>
        <w:r>
          <w:rPr>
            <w:noProof/>
            <w:webHidden/>
          </w:rPr>
        </w:r>
        <w:r>
          <w:rPr>
            <w:noProof/>
            <w:webHidden/>
          </w:rPr>
          <w:fldChar w:fldCharType="separate"/>
        </w:r>
        <w:r w:rsidR="00A606B7">
          <w:rPr>
            <w:noProof/>
            <w:webHidden/>
          </w:rPr>
          <w:t>3</w:t>
        </w:r>
        <w:r>
          <w:rPr>
            <w:noProof/>
            <w:webHidden/>
          </w:rPr>
          <w:fldChar w:fldCharType="end"/>
        </w:r>
      </w:hyperlink>
    </w:p>
    <w:p w14:paraId="1C7957C7" w14:textId="77777777" w:rsidR="00676A80" w:rsidRPr="004609DA" w:rsidRDefault="00676A80" w:rsidP="00676A80">
      <w:pPr>
        <w:pStyle w:val="TOC1"/>
        <w:rPr>
          <w:rFonts w:ascii="Calibri" w:eastAsia="Times New Roman" w:hAnsi="Calibri"/>
          <w:noProof/>
          <w:szCs w:val="22"/>
        </w:rPr>
      </w:pPr>
      <w:hyperlink w:anchor="_Toc507063409" w:history="1">
        <w:r w:rsidRPr="00C62B5E">
          <w:rPr>
            <w:rStyle w:val="Hyperlink"/>
            <w:noProof/>
          </w:rPr>
          <w:t>4</w:t>
        </w:r>
        <w:r w:rsidRPr="004609DA">
          <w:rPr>
            <w:rFonts w:ascii="Calibri" w:eastAsia="Times New Roman" w:hAnsi="Calibri"/>
            <w:noProof/>
            <w:szCs w:val="22"/>
          </w:rPr>
          <w:tab/>
        </w:r>
        <w:r w:rsidRPr="00C62B5E">
          <w:rPr>
            <w:rStyle w:val="Hyperlink"/>
            <w:noProof/>
          </w:rPr>
          <w:t>Definitions</w:t>
        </w:r>
        <w:r>
          <w:rPr>
            <w:noProof/>
            <w:webHidden/>
          </w:rPr>
          <w:tab/>
        </w:r>
        <w:r>
          <w:rPr>
            <w:noProof/>
            <w:webHidden/>
          </w:rPr>
          <w:fldChar w:fldCharType="begin"/>
        </w:r>
        <w:r>
          <w:rPr>
            <w:noProof/>
            <w:webHidden/>
          </w:rPr>
          <w:instrText xml:space="preserve"> PAGEREF _Toc507063409 \h </w:instrText>
        </w:r>
        <w:r>
          <w:rPr>
            <w:noProof/>
            <w:webHidden/>
          </w:rPr>
        </w:r>
        <w:r>
          <w:rPr>
            <w:noProof/>
            <w:webHidden/>
          </w:rPr>
          <w:fldChar w:fldCharType="separate"/>
        </w:r>
        <w:r w:rsidR="00A606B7">
          <w:rPr>
            <w:noProof/>
            <w:webHidden/>
          </w:rPr>
          <w:t>4</w:t>
        </w:r>
        <w:r>
          <w:rPr>
            <w:noProof/>
            <w:webHidden/>
          </w:rPr>
          <w:fldChar w:fldCharType="end"/>
        </w:r>
      </w:hyperlink>
    </w:p>
    <w:p w14:paraId="1C7957C8" w14:textId="77777777" w:rsidR="00676A80" w:rsidRPr="004609DA" w:rsidRDefault="00676A80" w:rsidP="00676A80">
      <w:pPr>
        <w:pStyle w:val="TOC1"/>
        <w:rPr>
          <w:rFonts w:ascii="Calibri" w:eastAsia="Times New Roman" w:hAnsi="Calibri"/>
          <w:noProof/>
          <w:szCs w:val="22"/>
        </w:rPr>
      </w:pPr>
      <w:hyperlink w:anchor="_Toc507063410" w:history="1">
        <w:r w:rsidRPr="00C62B5E">
          <w:rPr>
            <w:rStyle w:val="Hyperlink"/>
            <w:noProof/>
          </w:rPr>
          <w:t>5</w:t>
        </w:r>
        <w:r w:rsidRPr="004609DA">
          <w:rPr>
            <w:rFonts w:ascii="Calibri" w:eastAsia="Times New Roman" w:hAnsi="Calibri"/>
            <w:noProof/>
            <w:szCs w:val="22"/>
          </w:rPr>
          <w:tab/>
        </w:r>
        <w:r w:rsidRPr="00C62B5E">
          <w:rPr>
            <w:rStyle w:val="Hyperlink"/>
            <w:noProof/>
          </w:rPr>
          <w:t>Training</w:t>
        </w:r>
        <w:r>
          <w:rPr>
            <w:noProof/>
            <w:webHidden/>
          </w:rPr>
          <w:tab/>
        </w:r>
        <w:r>
          <w:rPr>
            <w:noProof/>
            <w:webHidden/>
          </w:rPr>
          <w:fldChar w:fldCharType="begin"/>
        </w:r>
        <w:r>
          <w:rPr>
            <w:noProof/>
            <w:webHidden/>
          </w:rPr>
          <w:instrText xml:space="preserve"> PAGEREF _Toc507063410 \h </w:instrText>
        </w:r>
        <w:r>
          <w:rPr>
            <w:noProof/>
            <w:webHidden/>
          </w:rPr>
        </w:r>
        <w:r>
          <w:rPr>
            <w:noProof/>
            <w:webHidden/>
          </w:rPr>
          <w:fldChar w:fldCharType="separate"/>
        </w:r>
        <w:r w:rsidR="00A606B7">
          <w:rPr>
            <w:noProof/>
            <w:webHidden/>
          </w:rPr>
          <w:t>5</w:t>
        </w:r>
        <w:r>
          <w:rPr>
            <w:noProof/>
            <w:webHidden/>
          </w:rPr>
          <w:fldChar w:fldCharType="end"/>
        </w:r>
      </w:hyperlink>
    </w:p>
    <w:p w14:paraId="1C7957C9" w14:textId="77777777" w:rsidR="00676A80" w:rsidRPr="004609DA" w:rsidRDefault="00676A80" w:rsidP="00676A80">
      <w:pPr>
        <w:pStyle w:val="TOC1"/>
        <w:rPr>
          <w:rFonts w:ascii="Calibri" w:eastAsia="Times New Roman" w:hAnsi="Calibri"/>
          <w:noProof/>
          <w:szCs w:val="22"/>
        </w:rPr>
      </w:pPr>
      <w:hyperlink w:anchor="_Toc507063411" w:history="1">
        <w:r w:rsidRPr="00C62B5E">
          <w:rPr>
            <w:rStyle w:val="Hyperlink"/>
            <w:noProof/>
          </w:rPr>
          <w:t>6</w:t>
        </w:r>
        <w:r w:rsidRPr="004609DA">
          <w:rPr>
            <w:rFonts w:ascii="Calibri" w:eastAsia="Times New Roman" w:hAnsi="Calibri"/>
            <w:noProof/>
            <w:szCs w:val="22"/>
          </w:rPr>
          <w:tab/>
        </w:r>
        <w:r w:rsidRPr="00C62B5E">
          <w:rPr>
            <w:rStyle w:val="Hyperlink"/>
            <w:noProof/>
          </w:rPr>
          <w:t>Identification</w:t>
        </w:r>
        <w:r>
          <w:rPr>
            <w:noProof/>
            <w:webHidden/>
          </w:rPr>
          <w:tab/>
        </w:r>
        <w:r>
          <w:rPr>
            <w:noProof/>
            <w:webHidden/>
          </w:rPr>
          <w:fldChar w:fldCharType="begin"/>
        </w:r>
        <w:r>
          <w:rPr>
            <w:noProof/>
            <w:webHidden/>
          </w:rPr>
          <w:instrText xml:space="preserve"> PAGEREF _Toc507063411 \h </w:instrText>
        </w:r>
        <w:r>
          <w:rPr>
            <w:noProof/>
            <w:webHidden/>
          </w:rPr>
        </w:r>
        <w:r>
          <w:rPr>
            <w:noProof/>
            <w:webHidden/>
          </w:rPr>
          <w:fldChar w:fldCharType="separate"/>
        </w:r>
        <w:r w:rsidR="00A606B7">
          <w:rPr>
            <w:noProof/>
            <w:webHidden/>
          </w:rPr>
          <w:t>5</w:t>
        </w:r>
        <w:r>
          <w:rPr>
            <w:noProof/>
            <w:webHidden/>
          </w:rPr>
          <w:fldChar w:fldCharType="end"/>
        </w:r>
      </w:hyperlink>
    </w:p>
    <w:p w14:paraId="1C7957CA" w14:textId="77777777" w:rsidR="00676A80" w:rsidRPr="004609DA" w:rsidRDefault="00676A80" w:rsidP="00676A80">
      <w:pPr>
        <w:pStyle w:val="TOC1"/>
        <w:rPr>
          <w:rFonts w:ascii="Calibri" w:eastAsia="Times New Roman" w:hAnsi="Calibri"/>
          <w:noProof/>
          <w:szCs w:val="22"/>
        </w:rPr>
      </w:pPr>
      <w:hyperlink w:anchor="_Toc507063412" w:history="1">
        <w:r w:rsidRPr="00C62B5E">
          <w:rPr>
            <w:rStyle w:val="Hyperlink"/>
            <w:noProof/>
          </w:rPr>
          <w:t>7</w:t>
        </w:r>
        <w:r w:rsidRPr="004609DA">
          <w:rPr>
            <w:rFonts w:ascii="Calibri" w:eastAsia="Times New Roman" w:hAnsi="Calibri"/>
            <w:noProof/>
            <w:szCs w:val="22"/>
          </w:rPr>
          <w:tab/>
        </w:r>
        <w:r w:rsidRPr="00C62B5E">
          <w:rPr>
            <w:rStyle w:val="Hyperlink"/>
            <w:noProof/>
          </w:rPr>
          <w:t>Risk Assessments</w:t>
        </w:r>
        <w:r>
          <w:rPr>
            <w:noProof/>
            <w:webHidden/>
          </w:rPr>
          <w:tab/>
        </w:r>
        <w:r>
          <w:rPr>
            <w:noProof/>
            <w:webHidden/>
          </w:rPr>
          <w:fldChar w:fldCharType="begin"/>
        </w:r>
        <w:r>
          <w:rPr>
            <w:noProof/>
            <w:webHidden/>
          </w:rPr>
          <w:instrText xml:space="preserve"> PAGEREF _Toc507063412 \h </w:instrText>
        </w:r>
        <w:r>
          <w:rPr>
            <w:noProof/>
            <w:webHidden/>
          </w:rPr>
        </w:r>
        <w:r>
          <w:rPr>
            <w:noProof/>
            <w:webHidden/>
          </w:rPr>
          <w:fldChar w:fldCharType="separate"/>
        </w:r>
        <w:r w:rsidR="00A606B7">
          <w:rPr>
            <w:noProof/>
            <w:webHidden/>
          </w:rPr>
          <w:t>5</w:t>
        </w:r>
        <w:r>
          <w:rPr>
            <w:noProof/>
            <w:webHidden/>
          </w:rPr>
          <w:fldChar w:fldCharType="end"/>
        </w:r>
      </w:hyperlink>
    </w:p>
    <w:p w14:paraId="1C7957CB" w14:textId="77777777" w:rsidR="00676A80" w:rsidRPr="004609DA" w:rsidRDefault="00676A80" w:rsidP="00676A80">
      <w:pPr>
        <w:pStyle w:val="TOC1"/>
        <w:rPr>
          <w:rFonts w:ascii="Calibri" w:eastAsia="Times New Roman" w:hAnsi="Calibri"/>
          <w:noProof/>
          <w:szCs w:val="22"/>
        </w:rPr>
      </w:pPr>
      <w:hyperlink w:anchor="_Toc507063413" w:history="1">
        <w:r w:rsidRPr="00C62B5E">
          <w:rPr>
            <w:rStyle w:val="Hyperlink"/>
            <w:noProof/>
          </w:rPr>
          <w:t>8</w:t>
        </w:r>
        <w:r w:rsidRPr="004609DA">
          <w:rPr>
            <w:rFonts w:ascii="Calibri" w:eastAsia="Times New Roman" w:hAnsi="Calibri"/>
            <w:noProof/>
            <w:szCs w:val="22"/>
          </w:rPr>
          <w:tab/>
        </w:r>
        <w:r w:rsidRPr="00C62B5E">
          <w:rPr>
            <w:rStyle w:val="Hyperlink"/>
            <w:noProof/>
          </w:rPr>
          <w:t>Containment and recovery</w:t>
        </w:r>
        <w:r>
          <w:rPr>
            <w:noProof/>
            <w:webHidden/>
          </w:rPr>
          <w:tab/>
        </w:r>
        <w:r>
          <w:rPr>
            <w:noProof/>
            <w:webHidden/>
          </w:rPr>
          <w:fldChar w:fldCharType="begin"/>
        </w:r>
        <w:r>
          <w:rPr>
            <w:noProof/>
            <w:webHidden/>
          </w:rPr>
          <w:instrText xml:space="preserve"> PAGEREF _Toc507063413 \h </w:instrText>
        </w:r>
        <w:r>
          <w:rPr>
            <w:noProof/>
            <w:webHidden/>
          </w:rPr>
        </w:r>
        <w:r>
          <w:rPr>
            <w:noProof/>
            <w:webHidden/>
          </w:rPr>
          <w:fldChar w:fldCharType="separate"/>
        </w:r>
        <w:r w:rsidR="00A606B7">
          <w:rPr>
            <w:noProof/>
            <w:webHidden/>
          </w:rPr>
          <w:t>5</w:t>
        </w:r>
        <w:r>
          <w:rPr>
            <w:noProof/>
            <w:webHidden/>
          </w:rPr>
          <w:fldChar w:fldCharType="end"/>
        </w:r>
      </w:hyperlink>
    </w:p>
    <w:p w14:paraId="1C7957CC" w14:textId="77777777" w:rsidR="00676A80" w:rsidRPr="004609DA" w:rsidRDefault="00676A80" w:rsidP="00676A80">
      <w:pPr>
        <w:pStyle w:val="TOC1"/>
        <w:rPr>
          <w:rFonts w:ascii="Calibri" w:eastAsia="Times New Roman" w:hAnsi="Calibri"/>
          <w:noProof/>
          <w:szCs w:val="22"/>
        </w:rPr>
      </w:pPr>
      <w:hyperlink w:anchor="_Toc507063414" w:history="1">
        <w:r w:rsidRPr="00C62B5E">
          <w:rPr>
            <w:rStyle w:val="Hyperlink"/>
            <w:noProof/>
          </w:rPr>
          <w:t>9</w:t>
        </w:r>
        <w:r w:rsidRPr="004609DA">
          <w:rPr>
            <w:rFonts w:ascii="Calibri" w:eastAsia="Times New Roman" w:hAnsi="Calibri"/>
            <w:noProof/>
            <w:szCs w:val="22"/>
          </w:rPr>
          <w:tab/>
        </w:r>
        <w:r w:rsidRPr="00C62B5E">
          <w:rPr>
            <w:rStyle w:val="Hyperlink"/>
            <w:noProof/>
          </w:rPr>
          <w:t>Investigation</w:t>
        </w:r>
        <w:r>
          <w:rPr>
            <w:noProof/>
            <w:webHidden/>
          </w:rPr>
          <w:tab/>
        </w:r>
        <w:r>
          <w:rPr>
            <w:noProof/>
            <w:webHidden/>
          </w:rPr>
          <w:fldChar w:fldCharType="begin"/>
        </w:r>
        <w:r>
          <w:rPr>
            <w:noProof/>
            <w:webHidden/>
          </w:rPr>
          <w:instrText xml:space="preserve"> PAGEREF _Toc507063414 \h </w:instrText>
        </w:r>
        <w:r>
          <w:rPr>
            <w:noProof/>
            <w:webHidden/>
          </w:rPr>
        </w:r>
        <w:r>
          <w:rPr>
            <w:noProof/>
            <w:webHidden/>
          </w:rPr>
          <w:fldChar w:fldCharType="separate"/>
        </w:r>
        <w:r w:rsidR="00A606B7">
          <w:rPr>
            <w:noProof/>
            <w:webHidden/>
          </w:rPr>
          <w:t>6</w:t>
        </w:r>
        <w:r>
          <w:rPr>
            <w:noProof/>
            <w:webHidden/>
          </w:rPr>
          <w:fldChar w:fldCharType="end"/>
        </w:r>
      </w:hyperlink>
    </w:p>
    <w:p w14:paraId="1C7957CD" w14:textId="77777777" w:rsidR="00676A80" w:rsidRPr="004609DA" w:rsidRDefault="00676A80" w:rsidP="00676A80">
      <w:pPr>
        <w:pStyle w:val="TOC1"/>
        <w:rPr>
          <w:rFonts w:ascii="Calibri" w:eastAsia="Times New Roman" w:hAnsi="Calibri"/>
          <w:noProof/>
          <w:szCs w:val="22"/>
        </w:rPr>
      </w:pPr>
      <w:hyperlink w:anchor="_Toc507063415" w:history="1">
        <w:r w:rsidRPr="00C62B5E">
          <w:rPr>
            <w:rStyle w:val="Hyperlink"/>
            <w:noProof/>
          </w:rPr>
          <w:t>10</w:t>
        </w:r>
        <w:r w:rsidRPr="004609DA">
          <w:rPr>
            <w:rFonts w:ascii="Calibri" w:eastAsia="Times New Roman" w:hAnsi="Calibri"/>
            <w:noProof/>
            <w:szCs w:val="22"/>
          </w:rPr>
          <w:tab/>
        </w:r>
        <w:r w:rsidRPr="00C62B5E">
          <w:rPr>
            <w:rStyle w:val="Hyperlink"/>
            <w:noProof/>
          </w:rPr>
          <w:t>Informing affected individuals</w:t>
        </w:r>
        <w:r>
          <w:rPr>
            <w:noProof/>
            <w:webHidden/>
          </w:rPr>
          <w:tab/>
        </w:r>
        <w:r>
          <w:rPr>
            <w:noProof/>
            <w:webHidden/>
          </w:rPr>
          <w:fldChar w:fldCharType="begin"/>
        </w:r>
        <w:r>
          <w:rPr>
            <w:noProof/>
            <w:webHidden/>
          </w:rPr>
          <w:instrText xml:space="preserve"> PAGEREF _Toc507063415 \h </w:instrText>
        </w:r>
        <w:r>
          <w:rPr>
            <w:noProof/>
            <w:webHidden/>
          </w:rPr>
        </w:r>
        <w:r>
          <w:rPr>
            <w:noProof/>
            <w:webHidden/>
          </w:rPr>
          <w:fldChar w:fldCharType="separate"/>
        </w:r>
        <w:r w:rsidR="00A606B7">
          <w:rPr>
            <w:noProof/>
            <w:webHidden/>
          </w:rPr>
          <w:t>7</w:t>
        </w:r>
        <w:r>
          <w:rPr>
            <w:noProof/>
            <w:webHidden/>
          </w:rPr>
          <w:fldChar w:fldCharType="end"/>
        </w:r>
      </w:hyperlink>
    </w:p>
    <w:p w14:paraId="1C7957CE" w14:textId="77777777" w:rsidR="00676A80" w:rsidRPr="004609DA" w:rsidRDefault="00676A80" w:rsidP="00676A80">
      <w:pPr>
        <w:pStyle w:val="TOC1"/>
        <w:rPr>
          <w:rFonts w:ascii="Calibri" w:eastAsia="Times New Roman" w:hAnsi="Calibri"/>
          <w:noProof/>
          <w:szCs w:val="22"/>
        </w:rPr>
      </w:pPr>
      <w:hyperlink w:anchor="_Toc507063416" w:history="1">
        <w:r w:rsidRPr="00C62B5E">
          <w:rPr>
            <w:rStyle w:val="Hyperlink"/>
            <w:noProof/>
          </w:rPr>
          <w:t>11</w:t>
        </w:r>
        <w:r w:rsidRPr="004609DA">
          <w:rPr>
            <w:rFonts w:ascii="Calibri" w:eastAsia="Times New Roman" w:hAnsi="Calibri"/>
            <w:noProof/>
            <w:szCs w:val="22"/>
          </w:rPr>
          <w:tab/>
        </w:r>
        <w:r w:rsidRPr="00C62B5E">
          <w:rPr>
            <w:rStyle w:val="Hyperlink"/>
            <w:noProof/>
          </w:rPr>
          <w:t>Learning lessons</w:t>
        </w:r>
        <w:r>
          <w:rPr>
            <w:noProof/>
            <w:webHidden/>
          </w:rPr>
          <w:tab/>
        </w:r>
        <w:r>
          <w:rPr>
            <w:noProof/>
            <w:webHidden/>
          </w:rPr>
          <w:fldChar w:fldCharType="begin"/>
        </w:r>
        <w:r>
          <w:rPr>
            <w:noProof/>
            <w:webHidden/>
          </w:rPr>
          <w:instrText xml:space="preserve"> PAGEREF _Toc507063416 \h </w:instrText>
        </w:r>
        <w:r>
          <w:rPr>
            <w:noProof/>
            <w:webHidden/>
          </w:rPr>
        </w:r>
        <w:r>
          <w:rPr>
            <w:noProof/>
            <w:webHidden/>
          </w:rPr>
          <w:fldChar w:fldCharType="separate"/>
        </w:r>
        <w:r w:rsidR="00A606B7">
          <w:rPr>
            <w:noProof/>
            <w:webHidden/>
          </w:rPr>
          <w:t>7</w:t>
        </w:r>
        <w:r>
          <w:rPr>
            <w:noProof/>
            <w:webHidden/>
          </w:rPr>
          <w:fldChar w:fldCharType="end"/>
        </w:r>
      </w:hyperlink>
    </w:p>
    <w:p w14:paraId="1C7957CF" w14:textId="77777777" w:rsidR="00676A80" w:rsidRPr="004609DA" w:rsidRDefault="00676A80" w:rsidP="00676A80">
      <w:pPr>
        <w:pStyle w:val="TOC1"/>
        <w:rPr>
          <w:rFonts w:ascii="Calibri" w:eastAsia="Times New Roman" w:hAnsi="Calibri"/>
          <w:noProof/>
          <w:szCs w:val="22"/>
        </w:rPr>
      </w:pPr>
      <w:hyperlink w:anchor="_Toc507063417" w:history="1">
        <w:r w:rsidRPr="00C62B5E">
          <w:rPr>
            <w:rStyle w:val="Hyperlink"/>
            <w:noProof/>
          </w:rPr>
          <w:t>12</w:t>
        </w:r>
        <w:r w:rsidRPr="004609DA">
          <w:rPr>
            <w:rFonts w:ascii="Calibri" w:eastAsia="Times New Roman" w:hAnsi="Calibri"/>
            <w:noProof/>
            <w:szCs w:val="22"/>
          </w:rPr>
          <w:tab/>
        </w:r>
        <w:r w:rsidRPr="00C62B5E">
          <w:rPr>
            <w:rStyle w:val="Hyperlink"/>
            <w:noProof/>
          </w:rPr>
          <w:t>Performance monitoring and responsibilities</w:t>
        </w:r>
        <w:r>
          <w:rPr>
            <w:noProof/>
            <w:webHidden/>
          </w:rPr>
          <w:tab/>
        </w:r>
        <w:r>
          <w:rPr>
            <w:noProof/>
            <w:webHidden/>
          </w:rPr>
          <w:fldChar w:fldCharType="begin"/>
        </w:r>
        <w:r>
          <w:rPr>
            <w:noProof/>
            <w:webHidden/>
          </w:rPr>
          <w:instrText xml:space="preserve"> PAGEREF _Toc507063417 \h </w:instrText>
        </w:r>
        <w:r>
          <w:rPr>
            <w:noProof/>
            <w:webHidden/>
          </w:rPr>
        </w:r>
        <w:r>
          <w:rPr>
            <w:noProof/>
            <w:webHidden/>
          </w:rPr>
          <w:fldChar w:fldCharType="separate"/>
        </w:r>
        <w:r w:rsidR="00A606B7">
          <w:rPr>
            <w:noProof/>
            <w:webHidden/>
          </w:rPr>
          <w:t>8</w:t>
        </w:r>
        <w:r>
          <w:rPr>
            <w:noProof/>
            <w:webHidden/>
          </w:rPr>
          <w:fldChar w:fldCharType="end"/>
        </w:r>
      </w:hyperlink>
    </w:p>
    <w:p w14:paraId="1C7957D0" w14:textId="77777777" w:rsidR="00676A80" w:rsidRPr="004609DA" w:rsidRDefault="00676A80" w:rsidP="00676A80">
      <w:pPr>
        <w:pStyle w:val="TOC1"/>
        <w:rPr>
          <w:rFonts w:ascii="Calibri" w:eastAsia="Times New Roman" w:hAnsi="Calibri"/>
          <w:noProof/>
          <w:szCs w:val="22"/>
        </w:rPr>
      </w:pPr>
      <w:hyperlink w:anchor="_Toc507063418" w:history="1">
        <w:r w:rsidRPr="00C62B5E">
          <w:rPr>
            <w:rStyle w:val="Hyperlink"/>
            <w:noProof/>
          </w:rPr>
          <w:t>13</w:t>
        </w:r>
        <w:r w:rsidRPr="004609DA">
          <w:rPr>
            <w:rFonts w:ascii="Calibri" w:eastAsia="Times New Roman" w:hAnsi="Calibri"/>
            <w:noProof/>
            <w:szCs w:val="22"/>
          </w:rPr>
          <w:tab/>
        </w:r>
        <w:r w:rsidRPr="00C62B5E">
          <w:rPr>
            <w:rStyle w:val="Hyperlink"/>
            <w:noProof/>
          </w:rPr>
          <w:t>Information Governance</w:t>
        </w:r>
        <w:r>
          <w:rPr>
            <w:noProof/>
            <w:webHidden/>
          </w:rPr>
          <w:tab/>
        </w:r>
        <w:r>
          <w:rPr>
            <w:noProof/>
            <w:webHidden/>
          </w:rPr>
          <w:fldChar w:fldCharType="begin"/>
        </w:r>
        <w:r>
          <w:rPr>
            <w:noProof/>
            <w:webHidden/>
          </w:rPr>
          <w:instrText xml:space="preserve"> PAGEREF _Toc507063418 \h </w:instrText>
        </w:r>
        <w:r>
          <w:rPr>
            <w:noProof/>
            <w:webHidden/>
          </w:rPr>
        </w:r>
        <w:r>
          <w:rPr>
            <w:noProof/>
            <w:webHidden/>
          </w:rPr>
          <w:fldChar w:fldCharType="separate"/>
        </w:r>
        <w:r w:rsidR="00A606B7">
          <w:rPr>
            <w:noProof/>
            <w:webHidden/>
          </w:rPr>
          <w:t>8</w:t>
        </w:r>
        <w:r>
          <w:rPr>
            <w:noProof/>
            <w:webHidden/>
          </w:rPr>
          <w:fldChar w:fldCharType="end"/>
        </w:r>
      </w:hyperlink>
    </w:p>
    <w:p w14:paraId="1C7957D1" w14:textId="77777777" w:rsidR="00676A80" w:rsidRPr="004609DA" w:rsidRDefault="00676A80" w:rsidP="00676A80">
      <w:pPr>
        <w:pStyle w:val="TOC1"/>
        <w:rPr>
          <w:rFonts w:ascii="Calibri" w:eastAsia="Times New Roman" w:hAnsi="Calibri"/>
          <w:noProof/>
          <w:szCs w:val="22"/>
        </w:rPr>
      </w:pPr>
      <w:hyperlink w:anchor="_Toc507063419" w:history="1">
        <w:r w:rsidRPr="00C62B5E">
          <w:rPr>
            <w:rStyle w:val="Hyperlink"/>
            <w:noProof/>
          </w:rPr>
          <w:t>14</w:t>
        </w:r>
        <w:r w:rsidRPr="004609DA">
          <w:rPr>
            <w:rFonts w:ascii="Calibri" w:eastAsia="Times New Roman" w:hAnsi="Calibri"/>
            <w:noProof/>
            <w:szCs w:val="22"/>
          </w:rPr>
          <w:tab/>
        </w:r>
        <w:r w:rsidRPr="00C62B5E">
          <w:rPr>
            <w:rStyle w:val="Hyperlink"/>
            <w:noProof/>
          </w:rPr>
          <w:t>Data breach Log</w:t>
        </w:r>
        <w:r>
          <w:rPr>
            <w:noProof/>
            <w:webHidden/>
          </w:rPr>
          <w:tab/>
        </w:r>
        <w:r>
          <w:rPr>
            <w:noProof/>
            <w:webHidden/>
          </w:rPr>
          <w:fldChar w:fldCharType="begin"/>
        </w:r>
        <w:r>
          <w:rPr>
            <w:noProof/>
            <w:webHidden/>
          </w:rPr>
          <w:instrText xml:space="preserve"> PAGEREF _Toc507063419 \h </w:instrText>
        </w:r>
        <w:r>
          <w:rPr>
            <w:noProof/>
            <w:webHidden/>
          </w:rPr>
        </w:r>
        <w:r>
          <w:rPr>
            <w:noProof/>
            <w:webHidden/>
          </w:rPr>
          <w:fldChar w:fldCharType="separate"/>
        </w:r>
        <w:r w:rsidR="00A606B7">
          <w:rPr>
            <w:noProof/>
            <w:webHidden/>
          </w:rPr>
          <w:t>8</w:t>
        </w:r>
        <w:r>
          <w:rPr>
            <w:noProof/>
            <w:webHidden/>
          </w:rPr>
          <w:fldChar w:fldCharType="end"/>
        </w:r>
      </w:hyperlink>
    </w:p>
    <w:p w14:paraId="1C7957D2" w14:textId="77777777" w:rsidR="00676A80" w:rsidRPr="004609DA" w:rsidRDefault="00676A80" w:rsidP="00676A80">
      <w:pPr>
        <w:pStyle w:val="TOC1"/>
        <w:rPr>
          <w:rFonts w:ascii="Calibri" w:eastAsia="Times New Roman" w:hAnsi="Calibri"/>
          <w:noProof/>
          <w:szCs w:val="22"/>
        </w:rPr>
      </w:pPr>
      <w:hyperlink w:anchor="_Toc507063420" w:history="1">
        <w:r w:rsidRPr="00C62B5E">
          <w:rPr>
            <w:rStyle w:val="Hyperlink"/>
            <w:noProof/>
          </w:rPr>
          <w:t>15</w:t>
        </w:r>
        <w:r w:rsidRPr="004609DA">
          <w:rPr>
            <w:rFonts w:ascii="Calibri" w:eastAsia="Times New Roman" w:hAnsi="Calibri"/>
            <w:noProof/>
            <w:szCs w:val="22"/>
          </w:rPr>
          <w:tab/>
        </w:r>
        <w:r w:rsidRPr="00C62B5E">
          <w:rPr>
            <w:rStyle w:val="Hyperlink"/>
            <w:noProof/>
          </w:rPr>
          <w:t>Related documents</w:t>
        </w:r>
        <w:r>
          <w:rPr>
            <w:noProof/>
            <w:webHidden/>
          </w:rPr>
          <w:tab/>
        </w:r>
        <w:r>
          <w:rPr>
            <w:noProof/>
            <w:webHidden/>
          </w:rPr>
          <w:fldChar w:fldCharType="begin"/>
        </w:r>
        <w:r>
          <w:rPr>
            <w:noProof/>
            <w:webHidden/>
          </w:rPr>
          <w:instrText xml:space="preserve"> PAGEREF _Toc507063420 \h </w:instrText>
        </w:r>
        <w:r>
          <w:rPr>
            <w:noProof/>
            <w:webHidden/>
          </w:rPr>
        </w:r>
        <w:r>
          <w:rPr>
            <w:noProof/>
            <w:webHidden/>
          </w:rPr>
          <w:fldChar w:fldCharType="separate"/>
        </w:r>
        <w:r w:rsidR="00A606B7">
          <w:rPr>
            <w:noProof/>
            <w:webHidden/>
          </w:rPr>
          <w:t>8</w:t>
        </w:r>
        <w:r>
          <w:rPr>
            <w:noProof/>
            <w:webHidden/>
          </w:rPr>
          <w:fldChar w:fldCharType="end"/>
        </w:r>
      </w:hyperlink>
    </w:p>
    <w:p w14:paraId="1C7957D3" w14:textId="77777777" w:rsidR="00676A80" w:rsidRDefault="00676A80" w:rsidP="00676A80">
      <w:pPr>
        <w:rPr>
          <w:noProof/>
        </w:rPr>
      </w:pPr>
      <w:r>
        <w:fldChar w:fldCharType="end"/>
      </w:r>
    </w:p>
    <w:p w14:paraId="1C7957D4" w14:textId="77777777" w:rsidR="00676A80" w:rsidRPr="00213A5A" w:rsidRDefault="00676A80" w:rsidP="00676A80"/>
    <w:p w14:paraId="1C7957D5" w14:textId="77777777" w:rsidR="00676A80" w:rsidRDefault="00676A80" w:rsidP="00676A80">
      <w:r w:rsidRPr="00132CCA">
        <w:br w:type="page"/>
      </w:r>
      <w:r>
        <w:lastRenderedPageBreak/>
        <w:t xml:space="preserve"> </w:t>
      </w:r>
    </w:p>
    <w:p w14:paraId="1C7957D6" w14:textId="77777777" w:rsidR="00676A80" w:rsidRDefault="00676A80" w:rsidP="00676A80">
      <w:pPr>
        <w:pStyle w:val="1NumberingHeadingLevel1"/>
      </w:pPr>
      <w:bookmarkStart w:id="0" w:name="_Toc507063406"/>
      <w:r>
        <w:t>Introduction</w:t>
      </w:r>
      <w:bookmarkEnd w:id="0"/>
    </w:p>
    <w:p w14:paraId="1C7957D7" w14:textId="77777777" w:rsidR="00676A80" w:rsidRDefault="00676A80" w:rsidP="00676A80">
      <w:pPr>
        <w:pStyle w:val="11Numberinglevel2"/>
        <w:numPr>
          <w:ilvl w:val="1"/>
          <w:numId w:val="3"/>
        </w:numPr>
        <w:ind w:left="709" w:hanging="709"/>
      </w:pPr>
      <w:r>
        <w:t xml:space="preserve">The Data Protection Act 2018 (DPA) is based around six principles of ‘good information handling’. These give people specific rights in relation to their personal information and place certain obligations on </w:t>
      </w:r>
      <w:proofErr w:type="spellStart"/>
      <w:r>
        <w:t>organisations</w:t>
      </w:r>
      <w:proofErr w:type="spellEnd"/>
      <w:r>
        <w:t xml:space="preserve"> that are responsible for processing it. An overview of the main provisions of DPA can be found in The Guide to Data Protection: </w:t>
      </w:r>
      <w:hyperlink r:id="rId8" w:history="1">
        <w:r w:rsidRPr="00D557C6">
          <w:rPr>
            <w:rStyle w:val="Hyperlink"/>
          </w:rPr>
          <w:t>https://ico.org.uk/for-organisations/guide-to-data-protection</w:t>
        </w:r>
      </w:hyperlink>
      <w:r>
        <w:t xml:space="preserve"> </w:t>
      </w:r>
    </w:p>
    <w:p w14:paraId="1C7957D8" w14:textId="77777777" w:rsidR="00676A80" w:rsidRDefault="00676A80" w:rsidP="00676A80">
      <w:pPr>
        <w:pStyle w:val="11Numberinglevel2"/>
        <w:numPr>
          <w:ilvl w:val="1"/>
          <w:numId w:val="3"/>
        </w:numPr>
        <w:ind w:left="709" w:hanging="709"/>
      </w:pPr>
      <w:r>
        <w:t xml:space="preserve">Occasionally things will go wrong and mistakes will be made. Sometimes this may entail significant financial or reputational risk for schools and students. It is vital that we can identify, evaluate contain data breaches as soon as they occur. </w:t>
      </w:r>
    </w:p>
    <w:p w14:paraId="1C7957D9" w14:textId="77777777" w:rsidR="00676A80" w:rsidRDefault="00676A80" w:rsidP="00676A80">
      <w:pPr>
        <w:pStyle w:val="11Numberinglevel2"/>
        <w:numPr>
          <w:ilvl w:val="1"/>
          <w:numId w:val="3"/>
        </w:numPr>
        <w:ind w:left="709" w:hanging="709"/>
      </w:pPr>
      <w:r>
        <w:t>Consistent governance and control arrangements are also a regulatory requirement. Where a breach has occurred and/or where you have failed to mitigate the impact quickly the Information Commissioner (ICO) may intervene and may use its powers to issue a substantial fine.</w:t>
      </w:r>
    </w:p>
    <w:p w14:paraId="1C7957DA" w14:textId="77777777" w:rsidR="00676A80" w:rsidRDefault="00676A80" w:rsidP="00676A80">
      <w:pPr>
        <w:pStyle w:val="11Numberinglevel2"/>
        <w:numPr>
          <w:ilvl w:val="1"/>
          <w:numId w:val="3"/>
        </w:numPr>
        <w:ind w:left="709" w:hanging="709"/>
      </w:pPr>
      <w:r>
        <w:t>Identifying data breaches quickly and effectively to limit any impact on your students is   critical to your success. Equally we need to understand where there are areas of weakness within our operating processes and continuously improve to reduce the risk of significant control failures leading to data breaches.</w:t>
      </w:r>
    </w:p>
    <w:p w14:paraId="1C7957DB" w14:textId="77777777" w:rsidR="00676A80" w:rsidRDefault="00676A80" w:rsidP="00676A80">
      <w:pPr>
        <w:pStyle w:val="11Numberinglevel2"/>
        <w:numPr>
          <w:ilvl w:val="1"/>
          <w:numId w:val="3"/>
        </w:numPr>
        <w:ind w:left="709" w:hanging="709"/>
      </w:pPr>
      <w:r>
        <w:t xml:space="preserve">This policy meets the guidance provided by the ICO on data security breach management. </w:t>
      </w:r>
    </w:p>
    <w:p w14:paraId="1C7957DC" w14:textId="77777777" w:rsidR="00676A80" w:rsidRDefault="00676A80" w:rsidP="00676A80">
      <w:pPr>
        <w:pStyle w:val="1NumberingHeadingLevel1"/>
      </w:pPr>
      <w:bookmarkStart w:id="1" w:name="_Toc507063407"/>
      <w:r>
        <w:t>Aims and objectives</w:t>
      </w:r>
      <w:bookmarkEnd w:id="1"/>
    </w:p>
    <w:p w14:paraId="1C7957DD" w14:textId="77777777" w:rsidR="00676A80" w:rsidRDefault="00676A80" w:rsidP="00676A80">
      <w:pPr>
        <w:pStyle w:val="11Numberinglevel2"/>
        <w:numPr>
          <w:ilvl w:val="1"/>
          <w:numId w:val="3"/>
        </w:numPr>
        <w:ind w:left="709" w:hanging="709"/>
      </w:pPr>
      <w:r>
        <w:t>This policy sets out:</w:t>
      </w:r>
    </w:p>
    <w:p w14:paraId="1C7957DE" w14:textId="77777777" w:rsidR="00676A80" w:rsidRDefault="00676A80" w:rsidP="007931A0">
      <w:pPr>
        <w:pStyle w:val="BulletedListLevel1"/>
        <w:numPr>
          <w:ilvl w:val="0"/>
          <w:numId w:val="5"/>
        </w:numPr>
      </w:pPr>
      <w:r>
        <w:t>Policy statement on data breaches</w:t>
      </w:r>
    </w:p>
    <w:p w14:paraId="1C7957DF" w14:textId="77777777" w:rsidR="00676A80" w:rsidRDefault="00676A80" w:rsidP="007931A0">
      <w:pPr>
        <w:pStyle w:val="BulletedListLevel1"/>
        <w:numPr>
          <w:ilvl w:val="0"/>
          <w:numId w:val="5"/>
        </w:numPr>
      </w:pPr>
      <w:r>
        <w:t>Definitions</w:t>
      </w:r>
    </w:p>
    <w:p w14:paraId="1C7957E0" w14:textId="77777777" w:rsidR="00676A80" w:rsidRDefault="00676A80" w:rsidP="007931A0">
      <w:pPr>
        <w:pStyle w:val="BulletedListLevel1"/>
        <w:numPr>
          <w:ilvl w:val="0"/>
          <w:numId w:val="5"/>
        </w:numPr>
      </w:pPr>
      <w:r>
        <w:t xml:space="preserve">Reporting responsibilities </w:t>
      </w:r>
    </w:p>
    <w:p w14:paraId="1C7957E1" w14:textId="77777777" w:rsidR="00676A80" w:rsidRDefault="00676A80" w:rsidP="00676A80">
      <w:pPr>
        <w:pStyle w:val="11Numberinglevel2"/>
        <w:numPr>
          <w:ilvl w:val="1"/>
          <w:numId w:val="3"/>
        </w:numPr>
        <w:ind w:left="709" w:hanging="709"/>
      </w:pPr>
      <w:r>
        <w:t>This policy aims to ensure that adequate controls are in place so that:</w:t>
      </w:r>
    </w:p>
    <w:p w14:paraId="1C7957E2" w14:textId="77777777" w:rsidR="00676A80" w:rsidRDefault="00676A80" w:rsidP="007931A0">
      <w:pPr>
        <w:pStyle w:val="BulletedListLevel1"/>
        <w:numPr>
          <w:ilvl w:val="0"/>
          <w:numId w:val="6"/>
        </w:numPr>
      </w:pPr>
      <w:r>
        <w:t>Data breaches are identified and action is taken quickly. Actions should be proportionate, consistent and transparent</w:t>
      </w:r>
    </w:p>
    <w:p w14:paraId="1C7957E3" w14:textId="77777777" w:rsidR="00676A80" w:rsidRDefault="00676A80" w:rsidP="007931A0">
      <w:pPr>
        <w:pStyle w:val="BulletedListLevel1"/>
        <w:numPr>
          <w:ilvl w:val="0"/>
          <w:numId w:val="6"/>
        </w:numPr>
      </w:pPr>
      <w:r>
        <w:t>An assessment is completed to ensure that any major data breaches are reported to the Senior Management Team (SMT), Data Protection Officer (DPO) and the ICO appropriately</w:t>
      </w:r>
    </w:p>
    <w:p w14:paraId="1C7957E4" w14:textId="77777777" w:rsidR="00676A80" w:rsidRDefault="00676A80" w:rsidP="007931A0">
      <w:pPr>
        <w:pStyle w:val="BulletedListLevel1"/>
        <w:numPr>
          <w:ilvl w:val="0"/>
          <w:numId w:val="6"/>
        </w:numPr>
      </w:pPr>
      <w:r>
        <w:t>All data breaches and near misses are recorded and regularly reported</w:t>
      </w:r>
    </w:p>
    <w:p w14:paraId="1C7957E5" w14:textId="77777777" w:rsidR="00676A80" w:rsidRDefault="00676A80" w:rsidP="007931A0">
      <w:pPr>
        <w:pStyle w:val="BulletedListLevel1"/>
        <w:numPr>
          <w:ilvl w:val="0"/>
          <w:numId w:val="6"/>
        </w:numPr>
      </w:pPr>
      <w:r>
        <w:t>Lessons are learnt to ensure similar mistakes are not repeated and appropriate control mechanisms are put in place.</w:t>
      </w:r>
    </w:p>
    <w:p w14:paraId="1C7957E6" w14:textId="77777777" w:rsidR="00676A80" w:rsidRDefault="00676A80" w:rsidP="00676A80">
      <w:pPr>
        <w:pStyle w:val="1NumberingHeadingLevel1"/>
      </w:pPr>
      <w:bookmarkStart w:id="2" w:name="_Toc507063408"/>
      <w:r>
        <w:t>Policy Statement</w:t>
      </w:r>
      <w:bookmarkEnd w:id="2"/>
    </w:p>
    <w:p w14:paraId="1C7957E7" w14:textId="77777777" w:rsidR="00676A80" w:rsidRDefault="00676A80" w:rsidP="00676A80">
      <w:pPr>
        <w:pStyle w:val="11Numberinglevel2"/>
        <w:numPr>
          <w:ilvl w:val="1"/>
          <w:numId w:val="3"/>
        </w:numPr>
        <w:ind w:left="709" w:hanging="709"/>
      </w:pPr>
      <w:r>
        <w:t>This policy is in place to raise awareness of data breach cases. To ensure that all staff can identify a case and understand the steps required for dealing with them.</w:t>
      </w:r>
    </w:p>
    <w:p w14:paraId="1C7957E8" w14:textId="77777777" w:rsidR="00676A80" w:rsidRDefault="00676A80" w:rsidP="00676A80">
      <w:pPr>
        <w:pStyle w:val="11Numberinglevel2"/>
        <w:numPr>
          <w:ilvl w:val="1"/>
          <w:numId w:val="3"/>
        </w:numPr>
        <w:ind w:left="709" w:hanging="709"/>
      </w:pPr>
      <w:r>
        <w:lastRenderedPageBreak/>
        <w:t>This policy identifies inherent risk of a data breach and/or near-miss, which will ensure that appropriate senior management and DPO are informed, able to manage actions relating to any real or potential serious data breach and be in a position to report to the ICO and affected individuals as appropriate.</w:t>
      </w:r>
    </w:p>
    <w:p w14:paraId="1C7957E9" w14:textId="77777777" w:rsidR="00676A80" w:rsidRDefault="00676A80" w:rsidP="00676A80">
      <w:pPr>
        <w:pStyle w:val="1NumberingHeadingLevel1"/>
      </w:pPr>
      <w:bookmarkStart w:id="3" w:name="_Toc507063409"/>
      <w:r>
        <w:t>Definitions</w:t>
      </w:r>
      <w:bookmarkEnd w:id="3"/>
    </w:p>
    <w:p w14:paraId="1C7957EA" w14:textId="77777777" w:rsidR="00676A80" w:rsidRPr="00A015D2" w:rsidRDefault="00676A80" w:rsidP="00676A80">
      <w:pPr>
        <w:pStyle w:val="11Numberinglevel2"/>
        <w:numPr>
          <w:ilvl w:val="1"/>
          <w:numId w:val="3"/>
        </w:numPr>
        <w:ind w:left="709" w:hanging="709"/>
        <w:rPr>
          <w:b/>
        </w:rPr>
      </w:pPr>
      <w:r w:rsidRPr="00A015D2">
        <w:rPr>
          <w:b/>
        </w:rPr>
        <w:t>What is a data breach?</w:t>
      </w:r>
    </w:p>
    <w:p w14:paraId="1C7957EB" w14:textId="77777777" w:rsidR="00676A80" w:rsidRDefault="00676A80" w:rsidP="007931A0">
      <w:pPr>
        <w:pStyle w:val="111Numberinglevel3"/>
        <w:numPr>
          <w:ilvl w:val="2"/>
          <w:numId w:val="7"/>
        </w:numPr>
      </w:pPr>
      <w:r>
        <w:t xml:space="preserve">According to the ICO </w:t>
      </w:r>
      <w:proofErr w:type="spellStart"/>
      <w:r>
        <w:t>organisations</w:t>
      </w:r>
      <w:proofErr w:type="spellEnd"/>
      <w:r>
        <w:t xml:space="preserve"> which process personal data must take appropriate measures against </w:t>
      </w:r>
      <w:proofErr w:type="spellStart"/>
      <w:r>
        <w:t>unauthorised</w:t>
      </w:r>
      <w:proofErr w:type="spellEnd"/>
      <w:r>
        <w:t xml:space="preserve"> or unlawful processing and against accidental loss, destruction of or damage to personal data. </w:t>
      </w:r>
    </w:p>
    <w:p w14:paraId="1C7957EC" w14:textId="77777777" w:rsidR="00676A80" w:rsidRDefault="00676A80" w:rsidP="007931A0">
      <w:pPr>
        <w:pStyle w:val="111Numberinglevel3"/>
        <w:numPr>
          <w:ilvl w:val="2"/>
          <w:numId w:val="7"/>
        </w:numPr>
      </w:pPr>
      <w:r>
        <w:t xml:space="preserve">A data breach is “a breach of security leading to the accidental or unlawful destruction, loss, alteration, </w:t>
      </w:r>
      <w:proofErr w:type="spellStart"/>
      <w:r>
        <w:t>unauthorised</w:t>
      </w:r>
      <w:proofErr w:type="spellEnd"/>
      <w:r>
        <w:t xml:space="preserve"> disclosure of, or access to, personal data transmitted, stored or otherwise processed”.</w:t>
      </w:r>
    </w:p>
    <w:p w14:paraId="1C7957ED" w14:textId="77777777" w:rsidR="00676A80" w:rsidRDefault="00676A80" w:rsidP="007931A0">
      <w:pPr>
        <w:pStyle w:val="111Numberinglevel3"/>
        <w:numPr>
          <w:ilvl w:val="2"/>
          <w:numId w:val="7"/>
        </w:numPr>
      </w:pPr>
      <w:r>
        <w:t xml:space="preserve">A personal data breach may mean that someone outside the school gets </w:t>
      </w:r>
      <w:proofErr w:type="spellStart"/>
      <w:r>
        <w:t>unauthorised</w:t>
      </w:r>
      <w:proofErr w:type="spellEnd"/>
      <w:r>
        <w:t xml:space="preserve"> access to personal and/or special category (sensitive) data. But a personal data breach can also occur if there is </w:t>
      </w:r>
      <w:proofErr w:type="spellStart"/>
      <w:r>
        <w:t>unauthorised</w:t>
      </w:r>
      <w:proofErr w:type="spellEnd"/>
      <w:r>
        <w:t xml:space="preserve"> access within the school for example an employee accidentally or deliberately alters or deletes personal data.</w:t>
      </w:r>
    </w:p>
    <w:p w14:paraId="1C7957EE" w14:textId="77777777" w:rsidR="007931A0" w:rsidRDefault="00676A80" w:rsidP="007931A0">
      <w:pPr>
        <w:pStyle w:val="111Numberinglevel3"/>
        <w:numPr>
          <w:ilvl w:val="2"/>
          <w:numId w:val="7"/>
        </w:numPr>
      </w:pPr>
      <w:r>
        <w:t>A data security breach can happen for many reasons:</w:t>
      </w:r>
    </w:p>
    <w:p w14:paraId="1C7957EF" w14:textId="77777777" w:rsidR="00676A80" w:rsidRDefault="00676A80" w:rsidP="007931A0">
      <w:pPr>
        <w:pStyle w:val="111Numberinglevel3"/>
        <w:numPr>
          <w:ilvl w:val="3"/>
          <w:numId w:val="7"/>
        </w:numPr>
      </w:pPr>
      <w:r>
        <w:t>Loss or theft of data or equipment on which data is stored</w:t>
      </w:r>
    </w:p>
    <w:p w14:paraId="1C7957F0" w14:textId="77777777" w:rsidR="00676A80" w:rsidRDefault="00676A80" w:rsidP="007931A0">
      <w:pPr>
        <w:pStyle w:val="BulletedListLevel1"/>
        <w:numPr>
          <w:ilvl w:val="3"/>
          <w:numId w:val="7"/>
        </w:numPr>
      </w:pPr>
      <w:r>
        <w:t>Inappropriate access controls allowing unauthorised use</w:t>
      </w:r>
    </w:p>
    <w:p w14:paraId="1C7957F1" w14:textId="77777777" w:rsidR="00676A80" w:rsidRDefault="00676A80" w:rsidP="007931A0">
      <w:pPr>
        <w:pStyle w:val="BulletedListLevel1"/>
        <w:numPr>
          <w:ilvl w:val="3"/>
          <w:numId w:val="7"/>
        </w:numPr>
      </w:pPr>
      <w:r>
        <w:t>Equipment failure</w:t>
      </w:r>
    </w:p>
    <w:p w14:paraId="1C7957F2" w14:textId="77777777" w:rsidR="00676A80" w:rsidRDefault="00676A80" w:rsidP="007931A0">
      <w:pPr>
        <w:pStyle w:val="BulletedListLevel1"/>
        <w:numPr>
          <w:ilvl w:val="3"/>
          <w:numId w:val="7"/>
        </w:numPr>
      </w:pPr>
      <w:r>
        <w:t>Human error</w:t>
      </w:r>
    </w:p>
    <w:p w14:paraId="1C7957F3" w14:textId="77777777" w:rsidR="00676A80" w:rsidRDefault="00676A80" w:rsidP="007931A0">
      <w:pPr>
        <w:pStyle w:val="BulletedListLevel1"/>
        <w:numPr>
          <w:ilvl w:val="3"/>
          <w:numId w:val="7"/>
        </w:numPr>
      </w:pPr>
      <w:r>
        <w:t>Unforeseen circumstances such as a fire or flood</w:t>
      </w:r>
    </w:p>
    <w:p w14:paraId="1C7957F4" w14:textId="77777777" w:rsidR="00676A80" w:rsidRDefault="00676A80" w:rsidP="007931A0">
      <w:pPr>
        <w:pStyle w:val="BulletedListLevel1"/>
        <w:numPr>
          <w:ilvl w:val="3"/>
          <w:numId w:val="7"/>
        </w:numPr>
      </w:pPr>
      <w:r>
        <w:t>Hacking attack</w:t>
      </w:r>
    </w:p>
    <w:p w14:paraId="1C7957F5" w14:textId="77777777" w:rsidR="00676A80" w:rsidRDefault="00676A80" w:rsidP="007931A0">
      <w:pPr>
        <w:pStyle w:val="BulletedListLevel1"/>
        <w:numPr>
          <w:ilvl w:val="3"/>
          <w:numId w:val="7"/>
        </w:numPr>
      </w:pPr>
      <w:r>
        <w:t>‘Blagging’ offences where information is obtained by deceiving the organisation who holds it.</w:t>
      </w:r>
    </w:p>
    <w:p w14:paraId="1C7957F6" w14:textId="77777777" w:rsidR="00676A80" w:rsidRDefault="00676A80" w:rsidP="007931A0">
      <w:pPr>
        <w:pStyle w:val="111Numberinglevel3"/>
        <w:numPr>
          <w:ilvl w:val="2"/>
          <w:numId w:val="4"/>
        </w:numPr>
      </w:pPr>
      <w:r>
        <w:t>Human error is the most common cause of data breaches. These can happen for many reasons:</w:t>
      </w:r>
    </w:p>
    <w:p w14:paraId="1C7957F7" w14:textId="77777777" w:rsidR="00676A80" w:rsidRDefault="00676A80" w:rsidP="007931A0">
      <w:pPr>
        <w:pStyle w:val="BulletedListLevel1"/>
        <w:numPr>
          <w:ilvl w:val="3"/>
          <w:numId w:val="8"/>
        </w:numPr>
      </w:pPr>
      <w:r>
        <w:t xml:space="preserve">Theft or loss of paperwork </w:t>
      </w:r>
    </w:p>
    <w:p w14:paraId="1C7957F8" w14:textId="77777777" w:rsidR="00676A80" w:rsidRDefault="00676A80" w:rsidP="007931A0">
      <w:pPr>
        <w:pStyle w:val="BulletedListLevel1"/>
        <w:numPr>
          <w:ilvl w:val="3"/>
          <w:numId w:val="8"/>
        </w:numPr>
      </w:pPr>
      <w:r>
        <w:t xml:space="preserve">Data posted to incorrect recipient </w:t>
      </w:r>
    </w:p>
    <w:p w14:paraId="1C7957F9" w14:textId="77777777" w:rsidR="00676A80" w:rsidRDefault="00676A80" w:rsidP="007931A0">
      <w:pPr>
        <w:pStyle w:val="BulletedListLevel1"/>
        <w:numPr>
          <w:ilvl w:val="3"/>
          <w:numId w:val="8"/>
        </w:numPr>
      </w:pPr>
      <w:r>
        <w:t xml:space="preserve">Data sent by email to incorrect recipient </w:t>
      </w:r>
    </w:p>
    <w:p w14:paraId="1C7957FA" w14:textId="77777777" w:rsidR="00676A80" w:rsidRDefault="00676A80" w:rsidP="007931A0">
      <w:pPr>
        <w:pStyle w:val="BulletedListLevel1"/>
        <w:numPr>
          <w:ilvl w:val="3"/>
          <w:numId w:val="8"/>
        </w:numPr>
      </w:pPr>
      <w:r>
        <w:t xml:space="preserve">Failure to redact personal/sensitive data. </w:t>
      </w:r>
    </w:p>
    <w:p w14:paraId="1C7957FB" w14:textId="77777777" w:rsidR="00676A80" w:rsidRPr="00A015D2" w:rsidRDefault="00676A80" w:rsidP="00676A80">
      <w:pPr>
        <w:pStyle w:val="11Numberinglevel2"/>
        <w:numPr>
          <w:ilvl w:val="1"/>
          <w:numId w:val="3"/>
        </w:numPr>
        <w:ind w:left="709" w:hanging="709"/>
        <w:rPr>
          <w:b/>
        </w:rPr>
      </w:pPr>
      <w:r w:rsidRPr="00A015D2">
        <w:rPr>
          <w:b/>
        </w:rPr>
        <w:t>What is a near miss?</w:t>
      </w:r>
    </w:p>
    <w:p w14:paraId="1C7957FC" w14:textId="77777777" w:rsidR="00676A80" w:rsidRDefault="00676A80" w:rsidP="00676A80">
      <w:pPr>
        <w:pStyle w:val="111Numberinglevel3"/>
        <w:numPr>
          <w:ilvl w:val="2"/>
          <w:numId w:val="4"/>
        </w:numPr>
        <w:ind w:left="709" w:hanging="709"/>
      </w:pPr>
      <w:r>
        <w:t>A near miss is an event that does not result in a data breach, but which had the potential to do so. Examples of such events might include data that was misplaced but found quickly internally or data that was sent out but was identified and returned.</w:t>
      </w:r>
    </w:p>
    <w:p w14:paraId="1C7957FD" w14:textId="77777777" w:rsidR="00676A80" w:rsidRDefault="00676A80" w:rsidP="00676A80">
      <w:pPr>
        <w:pStyle w:val="111Numberinglevel3"/>
        <w:numPr>
          <w:ilvl w:val="2"/>
          <w:numId w:val="4"/>
        </w:numPr>
        <w:ind w:left="709" w:hanging="709"/>
      </w:pPr>
      <w:r>
        <w:t>Your school should be committed to identifying weaknesses in your operational procedures. You will record all near misses in order to understand patterns, learn lessons and implement improvements.</w:t>
      </w:r>
    </w:p>
    <w:p w14:paraId="1C7957FE" w14:textId="77777777" w:rsidR="00676A80" w:rsidRDefault="00676A80" w:rsidP="00676A80">
      <w:pPr>
        <w:pStyle w:val="1NumberingHeadingLevel1"/>
      </w:pPr>
      <w:bookmarkStart w:id="4" w:name="_Toc507063410"/>
      <w:r>
        <w:lastRenderedPageBreak/>
        <w:t>Training</w:t>
      </w:r>
      <w:bookmarkEnd w:id="4"/>
    </w:p>
    <w:p w14:paraId="1C7957FF" w14:textId="77777777" w:rsidR="00676A80" w:rsidRDefault="00676A80" w:rsidP="00676A80">
      <w:pPr>
        <w:pStyle w:val="11Numberinglevel2"/>
        <w:numPr>
          <w:ilvl w:val="1"/>
          <w:numId w:val="3"/>
        </w:numPr>
        <w:ind w:left="709" w:hanging="709"/>
      </w:pPr>
      <w:r>
        <w:t>Mandatory training will be provided to all staff on data protection regulations</w:t>
      </w:r>
    </w:p>
    <w:p w14:paraId="1C795800" w14:textId="77777777" w:rsidR="00676A80" w:rsidRDefault="00676A80" w:rsidP="00676A80">
      <w:pPr>
        <w:pStyle w:val="11Numberinglevel2"/>
        <w:numPr>
          <w:ilvl w:val="1"/>
          <w:numId w:val="3"/>
        </w:numPr>
        <w:ind w:left="709" w:hanging="709"/>
      </w:pPr>
      <w:r>
        <w:t>Training will be provided to all new employees including temporary and contracted staff.</w:t>
      </w:r>
    </w:p>
    <w:p w14:paraId="1C795801" w14:textId="77777777" w:rsidR="00676A80" w:rsidRDefault="00676A80" w:rsidP="00676A80">
      <w:pPr>
        <w:pStyle w:val="11Numberinglevel2"/>
        <w:numPr>
          <w:ilvl w:val="1"/>
          <w:numId w:val="3"/>
        </w:numPr>
        <w:ind w:left="709" w:hanging="709"/>
      </w:pPr>
      <w:r>
        <w:t>All employees will undertake refresher training annually</w:t>
      </w:r>
    </w:p>
    <w:p w14:paraId="1C795802" w14:textId="77777777" w:rsidR="00676A80" w:rsidRDefault="00676A80" w:rsidP="00676A80">
      <w:pPr>
        <w:pStyle w:val="11Numberinglevel2"/>
        <w:numPr>
          <w:ilvl w:val="1"/>
          <w:numId w:val="3"/>
        </w:numPr>
        <w:ind w:left="709" w:hanging="709"/>
      </w:pPr>
      <w:r>
        <w:t>Your Data Protection Officer will receive training on data breach management and data breach reporting</w:t>
      </w:r>
    </w:p>
    <w:p w14:paraId="1C795803" w14:textId="77777777" w:rsidR="00676A80" w:rsidRDefault="00676A80" w:rsidP="00676A80">
      <w:pPr>
        <w:pStyle w:val="1NumberingHeadingLevel1"/>
      </w:pPr>
      <w:bookmarkStart w:id="5" w:name="_Toc507063411"/>
      <w:r>
        <w:t>Identification</w:t>
      </w:r>
      <w:bookmarkEnd w:id="5"/>
    </w:p>
    <w:p w14:paraId="1C795804" w14:textId="77777777" w:rsidR="00676A80" w:rsidRPr="00E224FF" w:rsidRDefault="00676A80" w:rsidP="00676A80">
      <w:pPr>
        <w:pStyle w:val="11Numberinglevel2"/>
        <w:numPr>
          <w:ilvl w:val="1"/>
          <w:numId w:val="3"/>
        </w:numPr>
        <w:ind w:left="709" w:hanging="709"/>
      </w:pPr>
      <w:r>
        <w:t xml:space="preserve">Data breaches or near misses may be identified as part of everyday business. </w:t>
      </w:r>
      <w:r w:rsidRPr="00E224FF">
        <w:t xml:space="preserve">They may be identified by the reception at the first point of contact; by a parent or pupil making us aware; by a third party like the local authority making us aware or  via  </w:t>
      </w:r>
      <w:r>
        <w:t xml:space="preserve">individual </w:t>
      </w:r>
      <w:r w:rsidRPr="00E224FF">
        <w:t>meetings.</w:t>
      </w:r>
    </w:p>
    <w:p w14:paraId="1C795805" w14:textId="77777777" w:rsidR="00676A80" w:rsidRDefault="00676A80" w:rsidP="00676A80">
      <w:pPr>
        <w:pStyle w:val="11Numberinglevel2"/>
        <w:numPr>
          <w:ilvl w:val="1"/>
          <w:numId w:val="3"/>
        </w:numPr>
        <w:ind w:left="709" w:hanging="709"/>
      </w:pPr>
      <w:r w:rsidRPr="00021007">
        <w:t xml:space="preserve">Where a data breach is identified </w:t>
      </w:r>
      <w:r>
        <w:t>the schools designated member of staff</w:t>
      </w:r>
      <w:r w:rsidRPr="00021007">
        <w:t xml:space="preserve"> and the Data Protection Officer must be informed immediately. </w:t>
      </w:r>
      <w:r>
        <w:t>The staff member</w:t>
      </w:r>
      <w:r w:rsidRPr="00021007">
        <w:t xml:space="preserve"> (with support from the Data Protection Officer) will investigate</w:t>
      </w:r>
      <w:r>
        <w:t xml:space="preserve"> the occurrence and complete a risk assessment (see the Risk Matrix) to determine the notification requirements. </w:t>
      </w:r>
    </w:p>
    <w:p w14:paraId="1C795806" w14:textId="77777777" w:rsidR="00676A80" w:rsidRDefault="00676A80" w:rsidP="00676A80">
      <w:pPr>
        <w:pStyle w:val="11Numberinglevel2"/>
        <w:numPr>
          <w:ilvl w:val="1"/>
          <w:numId w:val="3"/>
        </w:numPr>
        <w:ind w:left="709" w:hanging="709"/>
      </w:pPr>
      <w:r>
        <w:t xml:space="preserve">The controls in place must be reviewed. Where no controls are in place, consideration must be given to introducing them. Was this an exceptional case that could not have reasonably been avoided, or does action need to be taken to avoid a recurrence? </w:t>
      </w:r>
    </w:p>
    <w:p w14:paraId="1C795807" w14:textId="77777777" w:rsidR="00676A80" w:rsidRDefault="00676A80" w:rsidP="00676A80">
      <w:pPr>
        <w:pStyle w:val="1NumberingHeadingLevel1"/>
      </w:pPr>
      <w:bookmarkStart w:id="6" w:name="_Toc507063412"/>
      <w:r>
        <w:t>Risk Assessments</w:t>
      </w:r>
      <w:bookmarkEnd w:id="6"/>
    </w:p>
    <w:p w14:paraId="1C795808" w14:textId="77777777" w:rsidR="00676A80" w:rsidRDefault="00676A80" w:rsidP="00676A80">
      <w:pPr>
        <w:pStyle w:val="11Numberinglevel2"/>
        <w:numPr>
          <w:ilvl w:val="1"/>
          <w:numId w:val="3"/>
        </w:numPr>
        <w:ind w:left="709" w:hanging="709"/>
      </w:pPr>
      <w:r>
        <w:t>When a data breach is identified a risk assessment should be completed using the Risk Matrix.</w:t>
      </w:r>
    </w:p>
    <w:p w14:paraId="1C795809" w14:textId="77777777" w:rsidR="00676A80" w:rsidRDefault="00676A80" w:rsidP="00676A80">
      <w:pPr>
        <w:pStyle w:val="11Numberinglevel2"/>
        <w:numPr>
          <w:ilvl w:val="1"/>
          <w:numId w:val="3"/>
        </w:numPr>
        <w:ind w:left="709" w:hanging="709"/>
      </w:pPr>
      <w:r>
        <w:t>Depending on the risk assessment score the data breach will be reported to, owned and investigated at the specified levels within the school (see the Risk Matrix).</w:t>
      </w:r>
    </w:p>
    <w:p w14:paraId="1C79580A" w14:textId="77777777" w:rsidR="00676A80" w:rsidRPr="00021007" w:rsidRDefault="00676A80" w:rsidP="00676A80">
      <w:pPr>
        <w:pStyle w:val="11Numberinglevel2"/>
        <w:numPr>
          <w:ilvl w:val="1"/>
          <w:numId w:val="3"/>
        </w:numPr>
        <w:ind w:left="709" w:hanging="709"/>
      </w:pPr>
      <w:r w:rsidRPr="00021007">
        <w:t>The DPO will be made available to support the data breach owner</w:t>
      </w:r>
      <w:r>
        <w:t xml:space="preserve"> within the school</w:t>
      </w:r>
      <w:r w:rsidRPr="00021007">
        <w:t xml:space="preserve">. This officer will provide advice and guidance on managing the containment and recovery of any lost data and will support the investigation process. However, the data breach owner </w:t>
      </w:r>
      <w:r>
        <w:t xml:space="preserve">within the school </w:t>
      </w:r>
      <w:r w:rsidRPr="00021007">
        <w:t>will maintain overall ownership throughout.</w:t>
      </w:r>
    </w:p>
    <w:p w14:paraId="1C79580B" w14:textId="77777777" w:rsidR="00676A80" w:rsidRDefault="00676A80" w:rsidP="00676A80">
      <w:pPr>
        <w:pStyle w:val="11Numberinglevel2"/>
        <w:numPr>
          <w:ilvl w:val="1"/>
          <w:numId w:val="3"/>
        </w:numPr>
        <w:ind w:left="709" w:hanging="709"/>
      </w:pPr>
      <w:r>
        <w:t xml:space="preserve">The Data Breach Workflow should be used to work through the following stages. </w:t>
      </w:r>
    </w:p>
    <w:p w14:paraId="1C79580C" w14:textId="77777777" w:rsidR="00676A80" w:rsidRDefault="00676A80" w:rsidP="00676A80">
      <w:r w:rsidRPr="002D39D3">
        <w:rPr>
          <w:b/>
        </w:rPr>
        <w:t>NOTE</w:t>
      </w:r>
      <w:r>
        <w:t xml:space="preserve">: The relevant data breach owner should be notified immediately that a data breach has been identified or as a minimum within the timescales set out. This is a mandatory requirement. All incidents should also be reported to the Data Protection Officer who will decide how best to deal with the case. In some instances, investigations might be required to establish the scope of the issue identified. </w:t>
      </w:r>
    </w:p>
    <w:p w14:paraId="1C79580D" w14:textId="77777777" w:rsidR="00676A80" w:rsidRDefault="00676A80" w:rsidP="00676A80">
      <w:pPr>
        <w:pStyle w:val="1NumberingHeadingLevel1"/>
      </w:pPr>
      <w:bookmarkStart w:id="7" w:name="_Toc507063413"/>
      <w:r>
        <w:t>Containment and recovery</w:t>
      </w:r>
      <w:bookmarkEnd w:id="7"/>
    </w:p>
    <w:p w14:paraId="1C79580E" w14:textId="77777777" w:rsidR="00676A80" w:rsidRDefault="00676A80" w:rsidP="00676A80">
      <w:pPr>
        <w:pStyle w:val="11Numberinglevel2"/>
        <w:numPr>
          <w:ilvl w:val="1"/>
          <w:numId w:val="3"/>
        </w:numPr>
        <w:ind w:left="709" w:hanging="709"/>
      </w:pPr>
      <w:r>
        <w:t xml:space="preserve">Containment and recovery involves limiting the scope and impact of the data breach, and stemming it as quickly as possible. </w:t>
      </w:r>
    </w:p>
    <w:p w14:paraId="1C79580F" w14:textId="77777777" w:rsidR="00676A80" w:rsidRDefault="00676A80" w:rsidP="00676A80">
      <w:pPr>
        <w:pStyle w:val="11Numberinglevel2"/>
        <w:numPr>
          <w:ilvl w:val="1"/>
          <w:numId w:val="3"/>
        </w:numPr>
        <w:ind w:left="709" w:hanging="709"/>
      </w:pPr>
      <w:r w:rsidRPr="00021007">
        <w:t>The data breach owner, with support from the DPO, must quickly take appropriate steps to ascertain full details of the breach, determine whether the breach is still occurring</w:t>
      </w:r>
      <w:r>
        <w:t>, recover any losses and limit the damage. Steps might include:</w:t>
      </w:r>
    </w:p>
    <w:p w14:paraId="1C795810" w14:textId="77777777" w:rsidR="00676A80" w:rsidRDefault="00676A80" w:rsidP="007931A0">
      <w:pPr>
        <w:pStyle w:val="BulletedListLevel1"/>
        <w:numPr>
          <w:ilvl w:val="3"/>
          <w:numId w:val="9"/>
        </w:numPr>
      </w:pPr>
      <w:r>
        <w:lastRenderedPageBreak/>
        <w:t>Attempting to recover any lost equipment or personal information</w:t>
      </w:r>
    </w:p>
    <w:p w14:paraId="1C795811" w14:textId="77777777" w:rsidR="00676A80" w:rsidRDefault="00676A80" w:rsidP="007931A0">
      <w:pPr>
        <w:pStyle w:val="BulletedListLevel1"/>
        <w:numPr>
          <w:ilvl w:val="3"/>
          <w:numId w:val="9"/>
        </w:numPr>
      </w:pPr>
      <w:r>
        <w:t>Shutting down an IT system</w:t>
      </w:r>
    </w:p>
    <w:p w14:paraId="1C795812" w14:textId="77777777" w:rsidR="00676A80" w:rsidRDefault="00676A80" w:rsidP="007931A0">
      <w:pPr>
        <w:pStyle w:val="BulletedListLevel1"/>
        <w:numPr>
          <w:ilvl w:val="3"/>
          <w:numId w:val="9"/>
        </w:numPr>
      </w:pPr>
      <w:r>
        <w:t xml:space="preserve">Contacting the </w:t>
      </w:r>
      <w:r w:rsidRPr="00021007">
        <w:t>Admin Office</w:t>
      </w:r>
      <w:r>
        <w:t xml:space="preserve"> and other key departments so that they are prepared for any potentially inappropriate enquiries about the affected data subjects</w:t>
      </w:r>
    </w:p>
    <w:p w14:paraId="1C795813" w14:textId="77777777" w:rsidR="00676A80" w:rsidRDefault="00676A80" w:rsidP="007931A0">
      <w:pPr>
        <w:pStyle w:val="BulletedListLevel1"/>
        <w:numPr>
          <w:ilvl w:val="3"/>
          <w:numId w:val="9"/>
        </w:numPr>
      </w:pPr>
      <w:r>
        <w:t>If an inappropriate enquiry is received staff should attempt to obtain the enquirer’s name/contact details and confirm that they will ring the enquirer back</w:t>
      </w:r>
    </w:p>
    <w:p w14:paraId="1C795814" w14:textId="77777777" w:rsidR="00676A80" w:rsidRPr="00021007" w:rsidRDefault="00676A80" w:rsidP="007931A0">
      <w:pPr>
        <w:pStyle w:val="BulletedListLevel1"/>
        <w:numPr>
          <w:ilvl w:val="3"/>
          <w:numId w:val="9"/>
        </w:numPr>
      </w:pPr>
      <w:r w:rsidRPr="00021007">
        <w:t xml:space="preserve">The risk owner </w:t>
      </w:r>
      <w:r>
        <w:t>organising, with the</w:t>
      </w:r>
      <w:r w:rsidRPr="00021007">
        <w:t xml:space="preserve"> approval of the Senior Management Team, for a school-wide email to be sent</w:t>
      </w:r>
    </w:p>
    <w:p w14:paraId="1C795815" w14:textId="77777777" w:rsidR="00676A80" w:rsidRPr="00021007" w:rsidRDefault="00676A80" w:rsidP="007931A0">
      <w:pPr>
        <w:pStyle w:val="BulletedListLevel1"/>
        <w:numPr>
          <w:ilvl w:val="3"/>
          <w:numId w:val="9"/>
        </w:numPr>
      </w:pPr>
      <w:r w:rsidRPr="00021007">
        <w:t>Contacting the Admin Office so they can be prepared to handle any press enquiries or to make any press releases</w:t>
      </w:r>
    </w:p>
    <w:p w14:paraId="1C795816" w14:textId="77777777" w:rsidR="00676A80" w:rsidRDefault="00676A80" w:rsidP="007931A0">
      <w:pPr>
        <w:pStyle w:val="BulletedListLevel1"/>
        <w:numPr>
          <w:ilvl w:val="3"/>
          <w:numId w:val="9"/>
        </w:numPr>
      </w:pPr>
      <w:r>
        <w:t>The use of back-ups to restore lost, damaged or stolen information</w:t>
      </w:r>
    </w:p>
    <w:p w14:paraId="1C795817" w14:textId="77777777" w:rsidR="00676A80" w:rsidRDefault="00676A80" w:rsidP="007931A0">
      <w:pPr>
        <w:pStyle w:val="BulletedListLevel1"/>
        <w:numPr>
          <w:ilvl w:val="3"/>
          <w:numId w:val="9"/>
        </w:numPr>
      </w:pPr>
      <w:r>
        <w:t>If bank details have been lost/stolen consider contacting banks directly for advice on preventing fraudulent use</w:t>
      </w:r>
    </w:p>
    <w:p w14:paraId="1C795818" w14:textId="77777777" w:rsidR="00676A80" w:rsidRDefault="00676A80" w:rsidP="007931A0">
      <w:pPr>
        <w:pStyle w:val="BulletedListLevel1"/>
        <w:numPr>
          <w:ilvl w:val="3"/>
          <w:numId w:val="9"/>
        </w:numPr>
      </w:pPr>
      <w:r>
        <w:t xml:space="preserve">If the data breach includes any entry codes or passwords then these codes must be changed immediately, and the relevant organisations and members of staff informed. </w:t>
      </w:r>
    </w:p>
    <w:p w14:paraId="1C795819" w14:textId="77777777" w:rsidR="00676A80" w:rsidRDefault="00676A80" w:rsidP="00676A80">
      <w:pPr>
        <w:pStyle w:val="BulletedListLevel1"/>
        <w:numPr>
          <w:ilvl w:val="0"/>
          <w:numId w:val="0"/>
        </w:numPr>
        <w:ind w:left="1440"/>
      </w:pPr>
    </w:p>
    <w:p w14:paraId="1C79581A" w14:textId="77777777" w:rsidR="00676A80" w:rsidRDefault="00676A80" w:rsidP="00676A80">
      <w:pPr>
        <w:pStyle w:val="1NumberingHeadingLevel1"/>
      </w:pPr>
      <w:bookmarkStart w:id="8" w:name="_Toc507063414"/>
      <w:r>
        <w:t>Investigation</w:t>
      </w:r>
      <w:bookmarkEnd w:id="8"/>
      <w:r>
        <w:t xml:space="preserve"> </w:t>
      </w:r>
    </w:p>
    <w:p w14:paraId="1C79581B" w14:textId="77777777" w:rsidR="00676A80" w:rsidRPr="00783D92" w:rsidRDefault="00676A80" w:rsidP="00676A80">
      <w:pPr>
        <w:pStyle w:val="11Numberinglevel2"/>
        <w:numPr>
          <w:ilvl w:val="1"/>
          <w:numId w:val="3"/>
        </w:numPr>
        <w:ind w:left="709" w:hanging="709"/>
      </w:pPr>
      <w:r w:rsidRPr="00783D92">
        <w:t xml:space="preserve">If a data breach is identified then a formal investigation should be commenced by the </w:t>
      </w:r>
      <w:r>
        <w:t>designated member of staff (data breach owner)</w:t>
      </w:r>
      <w:r w:rsidRPr="00783D92">
        <w:t xml:space="preserve"> who should determine the seriousness of the breach and the risks arising from it. Specifically, the data breach </w:t>
      </w:r>
      <w:r>
        <w:t>owner</w:t>
      </w:r>
      <w:r w:rsidRPr="00783D92">
        <w:t xml:space="preserve"> should identify:</w:t>
      </w:r>
    </w:p>
    <w:p w14:paraId="1C79581C" w14:textId="77777777" w:rsidR="00676A80" w:rsidRDefault="00676A80" w:rsidP="007931A0">
      <w:pPr>
        <w:pStyle w:val="BulletedListLevel1"/>
        <w:numPr>
          <w:ilvl w:val="3"/>
          <w:numId w:val="10"/>
        </w:numPr>
      </w:pPr>
      <w:r>
        <w:t>Whose information was involved in the breach</w:t>
      </w:r>
    </w:p>
    <w:p w14:paraId="1C79581D" w14:textId="77777777" w:rsidR="00676A80" w:rsidRDefault="00676A80" w:rsidP="007931A0">
      <w:pPr>
        <w:pStyle w:val="BulletedListLevel1"/>
        <w:numPr>
          <w:ilvl w:val="3"/>
          <w:numId w:val="10"/>
        </w:numPr>
      </w:pPr>
      <w:r>
        <w:t>What went wrong</w:t>
      </w:r>
    </w:p>
    <w:p w14:paraId="1C79581E" w14:textId="77777777" w:rsidR="00676A80" w:rsidRDefault="00676A80" w:rsidP="007931A0">
      <w:pPr>
        <w:pStyle w:val="BulletedListLevel1"/>
        <w:numPr>
          <w:ilvl w:val="3"/>
          <w:numId w:val="10"/>
        </w:numPr>
      </w:pPr>
      <w:r>
        <w:t xml:space="preserve">The potential </w:t>
      </w:r>
      <w:proofErr w:type="spellStart"/>
      <w:r>
        <w:t>affect</w:t>
      </w:r>
      <w:proofErr w:type="spellEnd"/>
      <w:r>
        <w:t xml:space="preserve"> on the data subject(s)</w:t>
      </w:r>
    </w:p>
    <w:p w14:paraId="1C79581F" w14:textId="77777777" w:rsidR="00676A80" w:rsidRDefault="00676A80" w:rsidP="007931A0">
      <w:pPr>
        <w:pStyle w:val="BulletedListLevel1"/>
        <w:numPr>
          <w:ilvl w:val="3"/>
          <w:numId w:val="10"/>
        </w:numPr>
      </w:pPr>
      <w:r>
        <w:t>What immediate steps are required to remedy the situation</w:t>
      </w:r>
    </w:p>
    <w:p w14:paraId="1C795820" w14:textId="77777777" w:rsidR="00676A80" w:rsidRDefault="00676A80" w:rsidP="007931A0">
      <w:pPr>
        <w:pStyle w:val="BulletedListLevel1"/>
        <w:numPr>
          <w:ilvl w:val="3"/>
          <w:numId w:val="10"/>
        </w:numPr>
      </w:pPr>
      <w:r>
        <w:t>What lessons have been learnt to avoid a repeat incident.</w:t>
      </w:r>
    </w:p>
    <w:p w14:paraId="1C795821" w14:textId="77777777" w:rsidR="00676A80" w:rsidRDefault="00676A80" w:rsidP="00676A80">
      <w:r>
        <w:t>In order to support this process the data breach owner</w:t>
      </w:r>
      <w:r w:rsidRPr="00783D92">
        <w:t xml:space="preserve"> should complete</w:t>
      </w:r>
      <w:r>
        <w:t xml:space="preserve"> the Data Breach Report form.</w:t>
      </w:r>
    </w:p>
    <w:p w14:paraId="1C795822" w14:textId="77777777" w:rsidR="00676A80" w:rsidRDefault="00676A80" w:rsidP="00676A80">
      <w:pPr>
        <w:pStyle w:val="11Numberinglevel2"/>
        <w:numPr>
          <w:ilvl w:val="1"/>
          <w:numId w:val="3"/>
        </w:numPr>
        <w:ind w:left="709" w:hanging="709"/>
      </w:pPr>
      <w:r>
        <w:t>The investigation should consider:</w:t>
      </w:r>
    </w:p>
    <w:p w14:paraId="1C795823" w14:textId="77777777" w:rsidR="00676A80" w:rsidRDefault="00676A80" w:rsidP="007931A0">
      <w:pPr>
        <w:pStyle w:val="BulletedListLevel1"/>
        <w:numPr>
          <w:ilvl w:val="3"/>
          <w:numId w:val="11"/>
        </w:numPr>
      </w:pPr>
      <w:r>
        <w:t>The type of information</w:t>
      </w:r>
    </w:p>
    <w:p w14:paraId="1C795824" w14:textId="77777777" w:rsidR="00676A80" w:rsidRDefault="00676A80" w:rsidP="007931A0">
      <w:pPr>
        <w:pStyle w:val="BulletedListLevel1"/>
        <w:numPr>
          <w:ilvl w:val="3"/>
          <w:numId w:val="11"/>
        </w:numPr>
      </w:pPr>
      <w:r>
        <w:t>Its sensitivity</w:t>
      </w:r>
    </w:p>
    <w:p w14:paraId="1C795825" w14:textId="77777777" w:rsidR="00676A80" w:rsidRDefault="00676A80" w:rsidP="007931A0">
      <w:pPr>
        <w:pStyle w:val="BulletedListLevel1"/>
        <w:numPr>
          <w:ilvl w:val="3"/>
          <w:numId w:val="11"/>
        </w:numPr>
      </w:pPr>
      <w:r>
        <w:t>How many individuals are affected by the breach?</w:t>
      </w:r>
    </w:p>
    <w:p w14:paraId="1C795826" w14:textId="77777777" w:rsidR="00676A80" w:rsidRDefault="00676A80" w:rsidP="007931A0">
      <w:pPr>
        <w:pStyle w:val="BulletedListLevel1"/>
        <w:numPr>
          <w:ilvl w:val="3"/>
          <w:numId w:val="11"/>
        </w:numPr>
      </w:pPr>
      <w:r>
        <w:t>What protections are in place (e.g. encryption)?</w:t>
      </w:r>
    </w:p>
    <w:p w14:paraId="1C795827" w14:textId="77777777" w:rsidR="00676A80" w:rsidRDefault="00676A80" w:rsidP="007931A0">
      <w:pPr>
        <w:pStyle w:val="BulletedListLevel1"/>
        <w:numPr>
          <w:ilvl w:val="3"/>
          <w:numId w:val="11"/>
        </w:numPr>
      </w:pPr>
      <w:r>
        <w:t>What happened to the information?</w:t>
      </w:r>
    </w:p>
    <w:p w14:paraId="1C795828" w14:textId="77777777" w:rsidR="00676A80" w:rsidRDefault="00676A80" w:rsidP="007931A0">
      <w:pPr>
        <w:pStyle w:val="BulletedListLevel1"/>
        <w:numPr>
          <w:ilvl w:val="3"/>
          <w:numId w:val="11"/>
        </w:numPr>
      </w:pPr>
      <w:r>
        <w:t>Whether the information could be put to any illegal or inappropriate use</w:t>
      </w:r>
    </w:p>
    <w:p w14:paraId="1C795829" w14:textId="77777777" w:rsidR="00676A80" w:rsidRDefault="00676A80" w:rsidP="007931A0">
      <w:pPr>
        <w:pStyle w:val="BulletedListLevel1"/>
        <w:numPr>
          <w:ilvl w:val="3"/>
          <w:numId w:val="11"/>
        </w:numPr>
      </w:pPr>
      <w:r>
        <w:t>What could the information tell a third party about the individual?</w:t>
      </w:r>
    </w:p>
    <w:p w14:paraId="1C79582A" w14:textId="77777777" w:rsidR="00676A80" w:rsidRDefault="00676A80" w:rsidP="007931A0">
      <w:pPr>
        <w:pStyle w:val="BulletedListLevel1"/>
        <w:numPr>
          <w:ilvl w:val="3"/>
          <w:numId w:val="11"/>
        </w:numPr>
      </w:pPr>
      <w:r>
        <w:lastRenderedPageBreak/>
        <w:t>How many people are affected?</w:t>
      </w:r>
    </w:p>
    <w:p w14:paraId="1C79582B" w14:textId="77777777" w:rsidR="00676A80" w:rsidRDefault="00676A80" w:rsidP="007931A0">
      <w:pPr>
        <w:pStyle w:val="BulletedListLevel1"/>
        <w:numPr>
          <w:ilvl w:val="4"/>
          <w:numId w:val="11"/>
        </w:numPr>
      </w:pPr>
      <w:r>
        <w:t xml:space="preserve">What types of people have been affected (the </w:t>
      </w:r>
      <w:r w:rsidRPr="00783D92">
        <w:t>students,</w:t>
      </w:r>
      <w:r>
        <w:t xml:space="preserve"> parents, staff etc)?</w:t>
      </w:r>
    </w:p>
    <w:p w14:paraId="1C79582C" w14:textId="77777777" w:rsidR="00676A80" w:rsidRDefault="00676A80" w:rsidP="007931A0">
      <w:pPr>
        <w:pStyle w:val="BulletedListLevel1"/>
        <w:numPr>
          <w:ilvl w:val="4"/>
          <w:numId w:val="11"/>
        </w:numPr>
      </w:pPr>
      <w:r>
        <w:t>Whether those affected have any special needs/vulnerabilities.</w:t>
      </w:r>
    </w:p>
    <w:p w14:paraId="1C79582D" w14:textId="77777777" w:rsidR="00676A80" w:rsidRDefault="00676A80" w:rsidP="00676A80">
      <w:r w:rsidRPr="00A015D2">
        <w:rPr>
          <w:b/>
        </w:rPr>
        <w:t>NOTE</w:t>
      </w:r>
      <w:r>
        <w:t xml:space="preserve">: Actions to contain and recover data as well as mitigate any risk should be taken immediately. The investigation is to ensure that the case is being managed and any improvement actions agreed are implemented. The investigation should be proportionate to the breach identified and risk of harm. </w:t>
      </w:r>
    </w:p>
    <w:p w14:paraId="1C79582E" w14:textId="77777777" w:rsidR="00676A80" w:rsidRDefault="00676A80" w:rsidP="00676A80">
      <w:pPr>
        <w:pStyle w:val="11Numberinglevel2"/>
        <w:numPr>
          <w:ilvl w:val="1"/>
          <w:numId w:val="3"/>
        </w:numPr>
        <w:ind w:left="709" w:hanging="709"/>
      </w:pPr>
      <w:r>
        <w:t xml:space="preserve">The initial investigation should be completed urgently and wherever possible within 24 hours of the breach being discovered / reported. A further review of the causes of the breach and recommendations for future improvements can be done once the matter has been resolved </w:t>
      </w:r>
    </w:p>
    <w:p w14:paraId="1C79582F" w14:textId="77777777" w:rsidR="00676A80" w:rsidRDefault="00676A80" w:rsidP="00676A80">
      <w:pPr>
        <w:pStyle w:val="11Numberinglevel2"/>
        <w:numPr>
          <w:ilvl w:val="1"/>
          <w:numId w:val="3"/>
        </w:numPr>
        <w:ind w:left="709" w:hanging="709"/>
      </w:pPr>
      <w:r>
        <w:t xml:space="preserve">However, some level of investigation might be required to carry out the Risk Assessment and determine the most appropriate route of escalation. If, once identified, risk of a data breach is contained and does not pose immediate further threat to the </w:t>
      </w:r>
      <w:r w:rsidRPr="00783D92">
        <w:t>school a</w:t>
      </w:r>
      <w:r>
        <w:t xml:space="preserve">nd/or </w:t>
      </w:r>
      <w:r w:rsidRPr="00783D92">
        <w:t>students</w:t>
      </w:r>
      <w:r>
        <w:t xml:space="preserve">, timeframes for official escalation/notification can be extended to allow for a more thorough investigation. Extensions must be agreed at each stage and noted in the report. </w:t>
      </w:r>
    </w:p>
    <w:p w14:paraId="1C795830" w14:textId="77777777" w:rsidR="00676A80" w:rsidRDefault="00676A80" w:rsidP="00676A80">
      <w:pPr>
        <w:pStyle w:val="11Numberinglevel2"/>
        <w:numPr>
          <w:ilvl w:val="1"/>
          <w:numId w:val="3"/>
        </w:numPr>
        <w:ind w:left="709" w:hanging="709"/>
      </w:pPr>
      <w:r>
        <w:t xml:space="preserve">As an investigation proceeds the risk may change and the reporting requirements should be amended in line with the change in risk. For example, a case identified as a significant risk initially may increase to a major risk and therefore should be escalated to </w:t>
      </w:r>
      <w:r w:rsidRPr="00783D92">
        <w:t>the ICO</w:t>
      </w:r>
    </w:p>
    <w:p w14:paraId="1C795831" w14:textId="77777777" w:rsidR="00676A80" w:rsidRPr="00783D92" w:rsidRDefault="00676A80" w:rsidP="00676A80">
      <w:pPr>
        <w:pStyle w:val="11Numberinglevel2"/>
        <w:numPr>
          <w:ilvl w:val="1"/>
          <w:numId w:val="3"/>
        </w:numPr>
        <w:ind w:left="709" w:hanging="709"/>
      </w:pPr>
      <w:r>
        <w:t xml:space="preserve">Advice, input and support can be sought from </w:t>
      </w:r>
      <w:r w:rsidRPr="00783D92">
        <w:t>your Data Protection Officer as required.</w:t>
      </w:r>
    </w:p>
    <w:p w14:paraId="1C795832" w14:textId="77777777" w:rsidR="00676A80" w:rsidRDefault="00676A80" w:rsidP="00676A80">
      <w:pPr>
        <w:pStyle w:val="1NumberingHeadingLevel1"/>
      </w:pPr>
      <w:bookmarkStart w:id="9" w:name="_Toc507063415"/>
      <w:r>
        <w:t>Informing affected individuals</w:t>
      </w:r>
      <w:bookmarkEnd w:id="9"/>
      <w:r>
        <w:t xml:space="preserve"> </w:t>
      </w:r>
    </w:p>
    <w:p w14:paraId="1C795833" w14:textId="77777777" w:rsidR="00676A80" w:rsidRDefault="00676A80" w:rsidP="00676A80">
      <w:pPr>
        <w:pStyle w:val="11Numberinglevel2"/>
        <w:numPr>
          <w:ilvl w:val="1"/>
          <w:numId w:val="3"/>
        </w:numPr>
        <w:ind w:left="709" w:hanging="709"/>
      </w:pPr>
      <w:r>
        <w:t xml:space="preserve">The ICO requires us to inform those affected where there is a significant breach of personal and sensitive data and the risk of harm to those individuals is high. </w:t>
      </w:r>
    </w:p>
    <w:p w14:paraId="1C795834" w14:textId="77777777" w:rsidR="00676A80" w:rsidRDefault="00676A80" w:rsidP="00676A80">
      <w:pPr>
        <w:pStyle w:val="11Numberinglevel2"/>
        <w:numPr>
          <w:ilvl w:val="1"/>
          <w:numId w:val="3"/>
        </w:numPr>
        <w:ind w:left="709" w:hanging="709"/>
      </w:pPr>
      <w:r>
        <w:t xml:space="preserve">Clearly if there was a high risk of further harm the </w:t>
      </w:r>
      <w:r w:rsidRPr="00783D92">
        <w:t>school</w:t>
      </w:r>
      <w:r>
        <w:t xml:space="preserve"> would have an obligation to disclose the breach to each individual affected. However, this has to be balanced against the risk of causing further distress and anxiety to the families by informing them about the breach.</w:t>
      </w:r>
    </w:p>
    <w:p w14:paraId="1C795835" w14:textId="77777777" w:rsidR="00676A80" w:rsidRDefault="00676A80" w:rsidP="00676A80">
      <w:pPr>
        <w:pStyle w:val="11Numberinglevel2"/>
        <w:numPr>
          <w:ilvl w:val="1"/>
          <w:numId w:val="3"/>
        </w:numPr>
        <w:ind w:left="709" w:hanging="709"/>
      </w:pPr>
      <w:r>
        <w:t>The ICO guidance states that “informing people about a breach is not an end in itself. Notification should have a clear purpose, whether this is to enable individuals who may have been affected to take steps to protect themselves or to allow the appropriate regulatory bodies to perform their functions, provide advice and deal with complaints.”</w:t>
      </w:r>
    </w:p>
    <w:p w14:paraId="1C795836" w14:textId="77777777" w:rsidR="00676A80" w:rsidRPr="00492828" w:rsidRDefault="00676A80" w:rsidP="00676A80">
      <w:pPr>
        <w:pStyle w:val="11Numberinglevel2"/>
        <w:numPr>
          <w:ilvl w:val="1"/>
          <w:numId w:val="3"/>
        </w:numPr>
        <w:ind w:left="709" w:hanging="709"/>
      </w:pPr>
      <w:r w:rsidRPr="00492828">
        <w:t xml:space="preserve">Only the </w:t>
      </w:r>
      <w:r>
        <w:t>data breach owner and DPO</w:t>
      </w:r>
      <w:r w:rsidRPr="00492828">
        <w:t xml:space="preserve"> can decide whether to advise affected individuals of a data breach and therefore the reasons for deciding to do this should be clearly set out in the investigation report and discussed with the </w:t>
      </w:r>
      <w:r>
        <w:t>data breach owner</w:t>
      </w:r>
      <w:r w:rsidRPr="00492828">
        <w:t xml:space="preserve"> and other involved parties before affected parties are informed.</w:t>
      </w:r>
    </w:p>
    <w:p w14:paraId="1C795837" w14:textId="77777777" w:rsidR="00676A80" w:rsidRDefault="00676A80" w:rsidP="00676A80">
      <w:pPr>
        <w:ind w:left="709" w:hanging="709"/>
      </w:pPr>
      <w:r>
        <w:t>10.6</w:t>
      </w:r>
      <w:r>
        <w:tab/>
        <w:t>Further advice on whether to disclose to individuals is contained in the ICO Guidance on Assessing Disclosure to Individuals affected by a Data Breach.</w:t>
      </w:r>
    </w:p>
    <w:p w14:paraId="1C795838" w14:textId="77777777" w:rsidR="00676A80" w:rsidRDefault="00676A80" w:rsidP="00676A80">
      <w:pPr>
        <w:pStyle w:val="1NumberingHeadingLevel1"/>
      </w:pPr>
      <w:bookmarkStart w:id="10" w:name="_Toc507063416"/>
      <w:r>
        <w:t>Learning lessons</w:t>
      </w:r>
      <w:bookmarkEnd w:id="10"/>
    </w:p>
    <w:p w14:paraId="1C795839" w14:textId="77777777" w:rsidR="00676A80" w:rsidRDefault="00676A80" w:rsidP="00676A80">
      <w:pPr>
        <w:pStyle w:val="11Numberinglevel2"/>
        <w:numPr>
          <w:ilvl w:val="1"/>
          <w:numId w:val="3"/>
        </w:numPr>
        <w:ind w:left="709" w:hanging="709"/>
      </w:pPr>
      <w:r>
        <w:t>The Lessons Learnt Action Plan for data breaches and near misses should be completed and will form part of the investigation process.</w:t>
      </w:r>
    </w:p>
    <w:p w14:paraId="1C79583A" w14:textId="77777777" w:rsidR="00676A80" w:rsidRDefault="00676A80" w:rsidP="00676A80">
      <w:pPr>
        <w:pStyle w:val="11Numberinglevel2"/>
        <w:numPr>
          <w:ilvl w:val="1"/>
          <w:numId w:val="3"/>
        </w:numPr>
        <w:ind w:left="709" w:hanging="709"/>
      </w:pPr>
      <w:r>
        <w:t>The action plan should clearly outline the lessons learnt. The controls agreed to reduce the risk of a further reoccurrence, a lead member of staff and a completion date.</w:t>
      </w:r>
    </w:p>
    <w:p w14:paraId="1C79583B" w14:textId="77777777" w:rsidR="00676A80" w:rsidRDefault="00676A80" w:rsidP="00676A80">
      <w:pPr>
        <w:pStyle w:val="11Numberinglevel2"/>
        <w:numPr>
          <w:ilvl w:val="1"/>
          <w:numId w:val="3"/>
        </w:numPr>
        <w:ind w:left="709" w:hanging="709"/>
      </w:pPr>
      <w:r>
        <w:lastRenderedPageBreak/>
        <w:t>The case will not be considered closed until all actions agreed have been completed.</w:t>
      </w:r>
    </w:p>
    <w:p w14:paraId="1C79583C" w14:textId="77777777" w:rsidR="00676A80" w:rsidRDefault="00676A80" w:rsidP="00676A80">
      <w:pPr>
        <w:pStyle w:val="1NumberingHeadingLevel1"/>
      </w:pPr>
      <w:bookmarkStart w:id="11" w:name="_Toc507063417"/>
      <w:r>
        <w:t>Performance monitoring and responsibilities</w:t>
      </w:r>
      <w:bookmarkEnd w:id="11"/>
    </w:p>
    <w:p w14:paraId="1C79583D" w14:textId="77777777" w:rsidR="00676A80" w:rsidRDefault="00676A80" w:rsidP="00676A80">
      <w:pPr>
        <w:pStyle w:val="11Numberinglevel2"/>
        <w:numPr>
          <w:ilvl w:val="1"/>
          <w:numId w:val="3"/>
        </w:numPr>
        <w:ind w:left="709" w:hanging="709"/>
      </w:pPr>
      <w:r>
        <w:tab/>
        <w:t xml:space="preserve">90% of investigations should be completed within 10 working days of the data breach being identified. </w:t>
      </w:r>
    </w:p>
    <w:p w14:paraId="1C79583E" w14:textId="77777777" w:rsidR="00676A80" w:rsidRDefault="00676A80" w:rsidP="00676A80">
      <w:pPr>
        <w:pStyle w:val="11Numberinglevel2"/>
        <w:numPr>
          <w:ilvl w:val="1"/>
          <w:numId w:val="3"/>
        </w:numPr>
        <w:ind w:left="709" w:hanging="709"/>
      </w:pPr>
      <w:r>
        <w:t>Where a major risk has been identified:</w:t>
      </w:r>
    </w:p>
    <w:p w14:paraId="1C79583F" w14:textId="77777777" w:rsidR="00676A80" w:rsidRDefault="00676A80" w:rsidP="007931A0">
      <w:pPr>
        <w:pStyle w:val="BulletedListLevel1"/>
        <w:numPr>
          <w:ilvl w:val="3"/>
          <w:numId w:val="12"/>
        </w:numPr>
      </w:pPr>
      <w:r>
        <w:t>An interim report should be presented  to the Head / Governor a minimum within 10 working days even when the case cannot be concluded within this timescale</w:t>
      </w:r>
    </w:p>
    <w:p w14:paraId="1C795840" w14:textId="77777777" w:rsidR="00676A80" w:rsidRDefault="00676A80" w:rsidP="007931A0">
      <w:pPr>
        <w:pStyle w:val="BulletedListLevel1"/>
        <w:numPr>
          <w:ilvl w:val="3"/>
          <w:numId w:val="12"/>
        </w:numPr>
      </w:pPr>
      <w:r>
        <w:t xml:space="preserve">Further reports should be presented </w:t>
      </w:r>
      <w:r w:rsidRPr="00E224FF">
        <w:t xml:space="preserve">to </w:t>
      </w:r>
      <w:r>
        <w:t>Governors</w:t>
      </w:r>
      <w:r w:rsidRPr="00E224FF">
        <w:t xml:space="preserve"> at</w:t>
      </w:r>
      <w:r>
        <w:t xml:space="preserve"> least every 10 working days until the case is concluded.</w:t>
      </w:r>
    </w:p>
    <w:p w14:paraId="1C795841" w14:textId="77777777" w:rsidR="00676A80" w:rsidRDefault="00676A80" w:rsidP="00676A80">
      <w:pPr>
        <w:pStyle w:val="1NumberingHeadingLevel1"/>
      </w:pPr>
      <w:bookmarkStart w:id="12" w:name="_Toc507063418"/>
      <w:r>
        <w:t>Information Governance</w:t>
      </w:r>
      <w:bookmarkEnd w:id="12"/>
    </w:p>
    <w:p w14:paraId="1C795842" w14:textId="77777777" w:rsidR="00676A80" w:rsidRPr="00E224FF" w:rsidRDefault="00676A80" w:rsidP="00676A80">
      <w:pPr>
        <w:pStyle w:val="11Numberinglevel2"/>
        <w:numPr>
          <w:ilvl w:val="1"/>
          <w:numId w:val="3"/>
        </w:numPr>
        <w:ind w:left="709" w:hanging="709"/>
      </w:pPr>
      <w:r w:rsidRPr="00E224FF">
        <w:t xml:space="preserve">Information Governance is a resource that can be </w:t>
      </w:r>
      <w:proofErr w:type="spellStart"/>
      <w:r w:rsidRPr="00E224FF">
        <w:t>utilised</w:t>
      </w:r>
      <w:proofErr w:type="spellEnd"/>
      <w:r w:rsidRPr="00E224FF">
        <w:t xml:space="preserve"> to support investigations into identified data breaches. In any event, all data breach investigation reports should be shared with LBC’s Information Governance Team or the DPO review post completion. </w:t>
      </w:r>
    </w:p>
    <w:p w14:paraId="1C795843" w14:textId="77777777" w:rsidR="00676A80" w:rsidRDefault="00676A80" w:rsidP="00676A80">
      <w:pPr>
        <w:pStyle w:val="1NumberingHeadingLevel1"/>
      </w:pPr>
      <w:bookmarkStart w:id="13" w:name="_Toc507063419"/>
      <w:r>
        <w:t>Data breach Log</w:t>
      </w:r>
      <w:bookmarkEnd w:id="13"/>
      <w:r>
        <w:t xml:space="preserve"> </w:t>
      </w:r>
    </w:p>
    <w:p w14:paraId="1C795844" w14:textId="77777777" w:rsidR="00676A80" w:rsidRDefault="00676A80" w:rsidP="00676A80">
      <w:pPr>
        <w:pStyle w:val="11Numberinglevel2"/>
        <w:numPr>
          <w:ilvl w:val="1"/>
          <w:numId w:val="3"/>
        </w:numPr>
        <w:ind w:left="709" w:hanging="709"/>
      </w:pPr>
      <w:r>
        <w:t xml:space="preserve">All data breaches, including near misses, will be recorded on the data breach Log. All issues identified by the application of this policy will be recorded in the data breach log and </w:t>
      </w:r>
      <w:proofErr w:type="spellStart"/>
      <w:r>
        <w:t>categorised</w:t>
      </w:r>
      <w:proofErr w:type="spellEnd"/>
      <w:r>
        <w:t xml:space="preserve"> according to whether it is a data breach or near miss.</w:t>
      </w:r>
    </w:p>
    <w:p w14:paraId="1C795845" w14:textId="77777777" w:rsidR="00676A80" w:rsidRDefault="00676A80" w:rsidP="00676A80">
      <w:pPr>
        <w:pStyle w:val="11Numberinglevel2"/>
        <w:numPr>
          <w:ilvl w:val="1"/>
          <w:numId w:val="3"/>
        </w:numPr>
        <w:ind w:left="709" w:hanging="709"/>
      </w:pPr>
      <w:r>
        <w:t xml:space="preserve">This information will be reviewed and </w:t>
      </w:r>
      <w:proofErr w:type="spellStart"/>
      <w:r>
        <w:t>analysed</w:t>
      </w:r>
      <w:proofErr w:type="spellEnd"/>
      <w:r>
        <w:t xml:space="preserve"> at least monthly to identify patterns and monitor the implementation of agreed service improvements.</w:t>
      </w:r>
    </w:p>
    <w:p w14:paraId="1C795846" w14:textId="77777777" w:rsidR="00676A80" w:rsidRPr="00E224FF" w:rsidRDefault="00676A80" w:rsidP="00676A80">
      <w:pPr>
        <w:pStyle w:val="11Numberinglevel2"/>
        <w:numPr>
          <w:ilvl w:val="1"/>
          <w:numId w:val="3"/>
        </w:numPr>
        <w:ind w:left="709" w:hanging="709"/>
      </w:pPr>
      <w:r w:rsidRPr="00E224FF">
        <w:t>The DPO will collate all data breach reports and will report trends and lessons learnt quarterly to Governors</w:t>
      </w:r>
    </w:p>
    <w:p w14:paraId="1C795847" w14:textId="77777777" w:rsidR="00676A80" w:rsidRDefault="00676A80" w:rsidP="00676A80">
      <w:pPr>
        <w:pStyle w:val="1NumberingHeadingLevel1"/>
      </w:pPr>
      <w:bookmarkStart w:id="14" w:name="_Toc507063420"/>
      <w:r>
        <w:t>Related documents</w:t>
      </w:r>
      <w:bookmarkEnd w:id="14"/>
    </w:p>
    <w:p w14:paraId="1C795848" w14:textId="77777777" w:rsidR="00676A80" w:rsidRDefault="007931A0" w:rsidP="007931A0">
      <w:pPr>
        <w:pStyle w:val="BulletedListLevel1"/>
        <w:numPr>
          <w:ilvl w:val="3"/>
          <w:numId w:val="13"/>
        </w:numPr>
      </w:pPr>
      <w:r>
        <w:t xml:space="preserve">GDPR </w:t>
      </w:r>
      <w:r w:rsidR="00676A80">
        <w:t>Policy</w:t>
      </w:r>
    </w:p>
    <w:p w14:paraId="1C795849" w14:textId="77777777" w:rsidR="00676A80" w:rsidRDefault="00676A80" w:rsidP="007931A0">
      <w:pPr>
        <w:pStyle w:val="BulletedListLevel1"/>
        <w:numPr>
          <w:ilvl w:val="3"/>
          <w:numId w:val="13"/>
        </w:numPr>
      </w:pPr>
      <w:r>
        <w:t xml:space="preserve">Freedom of Information </w:t>
      </w:r>
      <w:r w:rsidR="007931A0">
        <w:t xml:space="preserve">Statement and </w:t>
      </w:r>
      <w:r>
        <w:t>Policy</w:t>
      </w:r>
    </w:p>
    <w:p w14:paraId="1C79584A" w14:textId="77777777" w:rsidR="00676A80" w:rsidRDefault="00676A80" w:rsidP="007931A0">
      <w:pPr>
        <w:pStyle w:val="BulletedListLevel1"/>
        <w:numPr>
          <w:ilvl w:val="3"/>
          <w:numId w:val="13"/>
        </w:numPr>
      </w:pPr>
      <w:r>
        <w:t>Subject Access Request Policy</w:t>
      </w:r>
    </w:p>
    <w:p w14:paraId="1C79584B" w14:textId="77777777" w:rsidR="00676A80" w:rsidRDefault="00676A80" w:rsidP="007931A0">
      <w:pPr>
        <w:pStyle w:val="BulletedListLevel1"/>
        <w:numPr>
          <w:ilvl w:val="3"/>
          <w:numId w:val="13"/>
        </w:numPr>
      </w:pPr>
      <w:r>
        <w:t>Document Retention Policy</w:t>
      </w:r>
    </w:p>
    <w:p w14:paraId="1C79584C" w14:textId="77777777" w:rsidR="00676A80" w:rsidRDefault="00676A80" w:rsidP="007931A0">
      <w:pPr>
        <w:pStyle w:val="BulletedListLevel1"/>
        <w:numPr>
          <w:ilvl w:val="3"/>
          <w:numId w:val="13"/>
        </w:numPr>
      </w:pPr>
      <w:r>
        <w:t>Information Security Policy</w:t>
      </w:r>
    </w:p>
    <w:p w14:paraId="1C79584D" w14:textId="77777777" w:rsidR="00676A80" w:rsidRDefault="00676A80" w:rsidP="00676A80">
      <w:pPr>
        <w:pStyle w:val="BulletedListLevel1"/>
        <w:numPr>
          <w:ilvl w:val="0"/>
          <w:numId w:val="0"/>
        </w:numPr>
      </w:pPr>
    </w:p>
    <w:p w14:paraId="1C79584E" w14:textId="77777777" w:rsidR="00676A80" w:rsidRDefault="00676A80" w:rsidP="00676A80">
      <w:pPr>
        <w:pStyle w:val="BulletedListLevel1"/>
        <w:numPr>
          <w:ilvl w:val="0"/>
          <w:numId w:val="0"/>
        </w:numPr>
      </w:pPr>
      <w:r>
        <w:t xml:space="preserve">Signed by: </w:t>
      </w:r>
    </w:p>
    <w:p w14:paraId="1C79584F" w14:textId="77777777" w:rsidR="00676A80" w:rsidRDefault="00676A80" w:rsidP="00676A80">
      <w:pPr>
        <w:pStyle w:val="BulletedListLevel1"/>
        <w:numPr>
          <w:ilvl w:val="0"/>
          <w:numId w:val="0"/>
        </w:numPr>
      </w:pPr>
      <w:r w:rsidRPr="007931A0">
        <w:rPr>
          <w:b/>
        </w:rPr>
        <w:t>Name:</w:t>
      </w:r>
      <w:r>
        <w:t xml:space="preserve">               </w:t>
      </w:r>
      <w:r w:rsidR="007931A0">
        <w:t xml:space="preserve">A Flinders </w:t>
      </w:r>
      <w:r>
        <w:t xml:space="preserve">                         </w:t>
      </w:r>
      <w:r w:rsidRPr="007931A0">
        <w:rPr>
          <w:b/>
        </w:rPr>
        <w:t>Position Held:</w:t>
      </w:r>
      <w:r>
        <w:t xml:space="preserve"> </w:t>
      </w:r>
      <w:r w:rsidR="007931A0">
        <w:t xml:space="preserve">Head Teacher </w:t>
      </w:r>
    </w:p>
    <w:p w14:paraId="1C795850" w14:textId="77777777" w:rsidR="00676A80" w:rsidRDefault="00676A80" w:rsidP="00676A80">
      <w:pPr>
        <w:pStyle w:val="BulletedListLevel1"/>
        <w:numPr>
          <w:ilvl w:val="0"/>
          <w:numId w:val="0"/>
        </w:numPr>
      </w:pPr>
    </w:p>
    <w:p w14:paraId="1C795851" w14:textId="048210AE" w:rsidR="00676A80" w:rsidRDefault="00676A80" w:rsidP="00676A80">
      <w:pPr>
        <w:pStyle w:val="BulletedListLevel1"/>
        <w:numPr>
          <w:ilvl w:val="0"/>
          <w:numId w:val="0"/>
        </w:numPr>
      </w:pPr>
      <w:r>
        <w:t>Ratified by:</w:t>
      </w:r>
      <w:r w:rsidR="00BF592D">
        <w:t xml:space="preserve"> G Rathbone </w:t>
      </w:r>
    </w:p>
    <w:p w14:paraId="1C795852" w14:textId="5C2233E1" w:rsidR="001750E5" w:rsidRDefault="00676A80" w:rsidP="00676A80">
      <w:pPr>
        <w:pStyle w:val="BulletedListLevel1"/>
        <w:numPr>
          <w:ilvl w:val="0"/>
          <w:numId w:val="0"/>
        </w:numPr>
      </w:pPr>
      <w:r>
        <w:t xml:space="preserve">Name:       </w:t>
      </w:r>
      <w:r>
        <w:tab/>
      </w:r>
      <w:r>
        <w:tab/>
        <w:t xml:space="preserve">              Position Held. </w:t>
      </w:r>
      <w:r w:rsidR="00BF592D">
        <w:t xml:space="preserve">Chair of Governors. </w:t>
      </w:r>
    </w:p>
    <w:sectPr w:rsidR="001750E5" w:rsidSect="00676A80">
      <w:footerReference w:type="default" r:id="rId9"/>
      <w:footerReference w:type="firs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5857" w14:textId="77777777" w:rsidR="00432428" w:rsidRDefault="00432428" w:rsidP="00676A80">
      <w:pPr>
        <w:spacing w:before="0" w:after="0"/>
      </w:pPr>
      <w:r>
        <w:separator/>
      </w:r>
    </w:p>
  </w:endnote>
  <w:endnote w:type="continuationSeparator" w:id="0">
    <w:p w14:paraId="1C795858" w14:textId="77777777" w:rsidR="00432428" w:rsidRDefault="00432428" w:rsidP="00676A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5859" w14:textId="77777777" w:rsidR="0024485D" w:rsidRDefault="0024485D" w:rsidP="009021BA">
    <w:pPr>
      <w:pStyle w:val="Foo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3343"/>
      <w:gridCol w:w="3117"/>
    </w:tblGrid>
    <w:tr w:rsidR="00663282" w:rsidRPr="00E113A1" w14:paraId="1C79585D" w14:textId="77777777" w:rsidTr="00E113A1">
      <w:trPr>
        <w:trHeight w:val="180"/>
      </w:trPr>
      <w:tc>
        <w:tcPr>
          <w:tcW w:w="1976" w:type="pct"/>
        </w:tcPr>
        <w:p w14:paraId="1C79585A" w14:textId="77777777" w:rsidR="0024485D" w:rsidRPr="00E113A1" w:rsidRDefault="007715BE" w:rsidP="00A015D2">
          <w:pPr>
            <w:pStyle w:val="2Footer"/>
          </w:pPr>
          <w:r w:rsidRPr="00E113A1">
            <w:t xml:space="preserve">Document name: </w:t>
          </w:r>
          <w:r>
            <w:t>Data Breach</w:t>
          </w:r>
        </w:p>
      </w:tc>
      <w:tc>
        <w:tcPr>
          <w:tcW w:w="1565" w:type="pct"/>
        </w:tcPr>
        <w:p w14:paraId="1C79585B" w14:textId="66BE5FCA" w:rsidR="0024485D" w:rsidRPr="00E113A1" w:rsidRDefault="007715BE" w:rsidP="00A015D2">
          <w:pPr>
            <w:pStyle w:val="2Footer"/>
          </w:pPr>
          <w:r w:rsidRPr="00E113A1">
            <w:t xml:space="preserve">Status: </w:t>
          </w:r>
          <w:proofErr w:type="gramStart"/>
          <w:r>
            <w:t xml:space="preserve">Final </w:t>
          </w:r>
          <w:r w:rsidRPr="00E113A1">
            <w:t xml:space="preserve"> v.</w:t>
          </w:r>
          <w:proofErr w:type="gramEnd"/>
          <w:r w:rsidRPr="00E113A1">
            <w:t>0.</w:t>
          </w:r>
          <w:r w:rsidR="007E3207">
            <w:t>5</w:t>
          </w:r>
        </w:p>
      </w:tc>
      <w:tc>
        <w:tcPr>
          <w:tcW w:w="1459" w:type="pct"/>
        </w:tcPr>
        <w:p w14:paraId="1C79585C" w14:textId="77777777" w:rsidR="0024485D" w:rsidRPr="00E113A1" w:rsidRDefault="007715BE" w:rsidP="00E113A1">
          <w:pPr>
            <w:pStyle w:val="2Footer"/>
          </w:pPr>
          <w:r w:rsidRPr="00E113A1">
            <w:t xml:space="preserve">Page </w:t>
          </w:r>
          <w:r w:rsidRPr="00E113A1">
            <w:fldChar w:fldCharType="begin"/>
          </w:r>
          <w:r w:rsidRPr="00E113A1">
            <w:instrText xml:space="preserve"> PAGE   \* MERGEFORMAT </w:instrText>
          </w:r>
          <w:r w:rsidRPr="00E113A1">
            <w:fldChar w:fldCharType="separate"/>
          </w:r>
          <w:r w:rsidR="007931A0">
            <w:rPr>
              <w:noProof/>
            </w:rPr>
            <w:t>2</w:t>
          </w:r>
          <w:r w:rsidRPr="00E113A1">
            <w:rPr>
              <w:noProof/>
            </w:rPr>
            <w:fldChar w:fldCharType="end"/>
          </w:r>
          <w:r w:rsidRPr="00E113A1">
            <w:t xml:space="preserve"> of </w:t>
          </w:r>
          <w:fldSimple w:instr=" NUMPAGES  \* Arabic  \* MERGEFORMAT ">
            <w:r w:rsidR="007931A0">
              <w:rPr>
                <w:noProof/>
              </w:rPr>
              <w:t>8</w:t>
            </w:r>
          </w:fldSimple>
        </w:p>
      </w:tc>
    </w:tr>
    <w:tr w:rsidR="00663282" w:rsidRPr="00E113A1" w14:paraId="1C795861" w14:textId="77777777" w:rsidTr="00E113A1">
      <w:trPr>
        <w:trHeight w:val="163"/>
      </w:trPr>
      <w:tc>
        <w:tcPr>
          <w:tcW w:w="1976" w:type="pct"/>
        </w:tcPr>
        <w:p w14:paraId="1C79585E" w14:textId="77777777" w:rsidR="0024485D" w:rsidRPr="00E113A1" w:rsidRDefault="007715BE" w:rsidP="00676A80">
          <w:pPr>
            <w:pStyle w:val="2Footer"/>
          </w:pPr>
          <w:r w:rsidRPr="00E113A1">
            <w:t xml:space="preserve">Issue Date: </w:t>
          </w:r>
          <w:r>
            <w:t>April</w:t>
          </w:r>
          <w:r w:rsidRPr="00E113A1">
            <w:t xml:space="preserve"> 201</w:t>
          </w:r>
          <w:r w:rsidR="00676A80">
            <w:t>9</w:t>
          </w:r>
        </w:p>
      </w:tc>
      <w:tc>
        <w:tcPr>
          <w:tcW w:w="1565" w:type="pct"/>
        </w:tcPr>
        <w:p w14:paraId="1C79585F" w14:textId="481F533C" w:rsidR="0024485D" w:rsidRPr="00E113A1" w:rsidRDefault="007715BE" w:rsidP="00E113A1">
          <w:pPr>
            <w:pStyle w:val="2Footer"/>
          </w:pPr>
          <w:r w:rsidRPr="00E113A1">
            <w:t xml:space="preserve">Review Date: </w:t>
          </w:r>
          <w:r w:rsidR="004C67B8">
            <w:t>September</w:t>
          </w:r>
          <w:r w:rsidRPr="00E113A1">
            <w:t xml:space="preserve"> 202</w:t>
          </w:r>
          <w:r w:rsidR="004C67B8">
            <w:t>5</w:t>
          </w:r>
        </w:p>
      </w:tc>
      <w:tc>
        <w:tcPr>
          <w:tcW w:w="1459" w:type="pct"/>
        </w:tcPr>
        <w:p w14:paraId="1C795860" w14:textId="77777777" w:rsidR="0024485D" w:rsidRPr="00E113A1" w:rsidRDefault="007715BE" w:rsidP="00A015D2">
          <w:pPr>
            <w:pStyle w:val="2Footer"/>
          </w:pPr>
          <w:r w:rsidRPr="00E113A1">
            <w:t xml:space="preserve">Revision Date: </w:t>
          </w:r>
        </w:p>
      </w:tc>
    </w:tr>
  </w:tbl>
  <w:p w14:paraId="1C795862" w14:textId="77777777" w:rsidR="0024485D" w:rsidRDefault="0024485D" w:rsidP="00902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5863" w14:textId="77777777" w:rsidR="0024485D" w:rsidRPr="00E113A1" w:rsidRDefault="00676A80" w:rsidP="00676A80">
    <w:pPr>
      <w:pStyle w:val="16ptHeading"/>
    </w:pPr>
    <w: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5855" w14:textId="77777777" w:rsidR="00432428" w:rsidRDefault="00432428" w:rsidP="00676A80">
      <w:pPr>
        <w:spacing w:before="0" w:after="0"/>
      </w:pPr>
      <w:r>
        <w:separator/>
      </w:r>
    </w:p>
  </w:footnote>
  <w:footnote w:type="continuationSeparator" w:id="0">
    <w:p w14:paraId="1C795856" w14:textId="77777777" w:rsidR="00432428" w:rsidRDefault="00432428" w:rsidP="00676A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229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30D1FA7"/>
    <w:multiLevelType w:val="hybridMultilevel"/>
    <w:tmpl w:val="17F099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B6761B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5D21F33"/>
    <w:multiLevelType w:val="hybridMultilevel"/>
    <w:tmpl w:val="DF4A9B5A"/>
    <w:lvl w:ilvl="0" w:tplc="08090001">
      <w:start w:val="1"/>
      <w:numFmt w:val="bullet"/>
      <w:pStyle w:val="BulletedListLevel1"/>
      <w:lvlText w:val=""/>
      <w:lvlJc w:val="left"/>
      <w:pPr>
        <w:ind w:left="1440" w:hanging="360"/>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A65472"/>
    <w:multiLevelType w:val="multilevel"/>
    <w:tmpl w:val="08090021"/>
    <w:lvl w:ilvl="0">
      <w:start w:val="1"/>
      <w:numFmt w:val="bullet"/>
      <w:lvlText w:val=""/>
      <w:lvlJc w:val="left"/>
      <w:pPr>
        <w:ind w:left="360" w:hanging="360"/>
      </w:pPr>
      <w:rPr>
        <w:rFonts w:ascii="Wingdings" w:hAnsi="Wingdings" w:hint="default"/>
        <w:b/>
        <w:i w:val="0"/>
        <w:sz w:val="28"/>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6EA799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DCE59A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AEF6B96"/>
    <w:multiLevelType w:val="multilevel"/>
    <w:tmpl w:val="CC36A904"/>
    <w:lvl w:ilvl="0">
      <w:start w:val="1"/>
      <w:numFmt w:val="decimal"/>
      <w:pStyle w:val="1NumberingHeadingLevel1"/>
      <w:lvlText w:val="%1"/>
      <w:lvlJc w:val="left"/>
      <w:pPr>
        <w:ind w:left="1304" w:hanging="1304"/>
      </w:pPr>
      <w:rPr>
        <w:rFonts w:ascii="Arial" w:hAnsi="Arial" w:hint="default"/>
        <w:b/>
        <w:i w:val="0"/>
        <w:sz w:val="28"/>
      </w:rPr>
    </w:lvl>
    <w:lvl w:ilvl="1">
      <w:start w:val="1"/>
      <w:numFmt w:val="decimal"/>
      <w:pStyle w:val="11Numberinglevel2"/>
      <w:lvlText w:val="%1.%2"/>
      <w:lvlJc w:val="left"/>
      <w:pPr>
        <w:ind w:left="1304" w:hanging="1304"/>
      </w:pPr>
      <w:rPr>
        <w:rFonts w:hint="default"/>
      </w:rPr>
    </w:lvl>
    <w:lvl w:ilvl="2">
      <w:start w:val="1"/>
      <w:numFmt w:val="decimal"/>
      <w:pStyle w:val="111Numberinglevel3"/>
      <w:lvlText w:val="%1.%2.%3"/>
      <w:lvlJc w:val="left"/>
      <w:pPr>
        <w:ind w:left="1304" w:hanging="130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9E32D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547218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55A4963"/>
    <w:multiLevelType w:val="hybridMultilevel"/>
    <w:tmpl w:val="22AA59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50907859">
    <w:abstractNumId w:val="3"/>
  </w:num>
  <w:num w:numId="2" w16cid:durableId="511341002">
    <w:abstractNumId w:val="7"/>
  </w:num>
  <w:num w:numId="3" w16cid:durableId="800269005">
    <w:abstractNumId w:val="7"/>
    <w:lvlOverride w:ilvl="0">
      <w:lvl w:ilvl="0">
        <w:start w:val="1"/>
        <w:numFmt w:val="decimal"/>
        <w:pStyle w:val="1NumberingHeadingLevel1"/>
        <w:lvlText w:val="%1"/>
        <w:lvlJc w:val="left"/>
        <w:pPr>
          <w:ind w:left="1304" w:hanging="1304"/>
        </w:pPr>
        <w:rPr>
          <w:rFonts w:ascii="Arial" w:hAnsi="Arial" w:hint="default"/>
          <w:b/>
          <w:i w:val="0"/>
          <w:sz w:val="28"/>
        </w:rPr>
      </w:lvl>
    </w:lvlOverride>
    <w:lvlOverride w:ilvl="1">
      <w:lvl w:ilvl="1">
        <w:start w:val="1"/>
        <w:numFmt w:val="decimal"/>
        <w:pStyle w:val="11Numberinglevel2"/>
        <w:lvlText w:val="%1.%2"/>
        <w:lvlJc w:val="left"/>
        <w:pPr>
          <w:ind w:left="1446" w:hanging="1304"/>
        </w:pPr>
        <w:rPr>
          <w:rFonts w:hint="default"/>
        </w:rPr>
      </w:lvl>
    </w:lvlOverride>
    <w:lvlOverride w:ilvl="2">
      <w:lvl w:ilvl="2">
        <w:start w:val="1"/>
        <w:numFmt w:val="decimal"/>
        <w:pStyle w:val="111Numberinglevel3"/>
        <w:lvlText w:val="%1.%2.%3"/>
        <w:lvlJc w:val="left"/>
        <w:pPr>
          <w:ind w:left="1304" w:hanging="1304"/>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 w16cid:durableId="44523255">
    <w:abstractNumId w:val="7"/>
    <w:lvlOverride w:ilvl="0">
      <w:lvl w:ilvl="0">
        <w:start w:val="1"/>
        <w:numFmt w:val="bullet"/>
        <w:pStyle w:val="1NumberingHeadingLevel1"/>
        <w:lvlText w:val=""/>
        <w:lvlJc w:val="left"/>
        <w:pPr>
          <w:ind w:left="360" w:hanging="360"/>
        </w:pPr>
        <w:rPr>
          <w:rFonts w:ascii="Wingdings" w:hAnsi="Wingdings" w:hint="default"/>
        </w:rPr>
      </w:lvl>
    </w:lvlOverride>
    <w:lvlOverride w:ilvl="1">
      <w:lvl w:ilvl="1">
        <w:start w:val="1"/>
        <w:numFmt w:val="bullet"/>
        <w:pStyle w:val="11Numberinglevel2"/>
        <w:lvlText w:val=""/>
        <w:lvlJc w:val="left"/>
        <w:pPr>
          <w:ind w:left="720" w:hanging="360"/>
        </w:pPr>
        <w:rPr>
          <w:rFonts w:ascii="Wingdings" w:hAnsi="Wingdings" w:hint="default"/>
        </w:rPr>
      </w:lvl>
    </w:lvlOverride>
    <w:lvlOverride w:ilvl="2">
      <w:lvl w:ilvl="2">
        <w:start w:val="1"/>
        <w:numFmt w:val="bullet"/>
        <w:pStyle w:val="111Numbering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5" w16cid:durableId="1970546268">
    <w:abstractNumId w:val="10"/>
  </w:num>
  <w:num w:numId="6" w16cid:durableId="785583371">
    <w:abstractNumId w:val="1"/>
  </w:num>
  <w:num w:numId="7" w16cid:durableId="1331132376">
    <w:abstractNumId w:val="4"/>
  </w:num>
  <w:num w:numId="8" w16cid:durableId="1789473270">
    <w:abstractNumId w:val="8"/>
  </w:num>
  <w:num w:numId="9" w16cid:durableId="1819029550">
    <w:abstractNumId w:val="9"/>
  </w:num>
  <w:num w:numId="10" w16cid:durableId="489831563">
    <w:abstractNumId w:val="2"/>
  </w:num>
  <w:num w:numId="11" w16cid:durableId="877351701">
    <w:abstractNumId w:val="5"/>
  </w:num>
  <w:num w:numId="12" w16cid:durableId="97717473">
    <w:abstractNumId w:val="0"/>
  </w:num>
  <w:num w:numId="13" w16cid:durableId="519708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A80"/>
    <w:rsid w:val="001750E5"/>
    <w:rsid w:val="001B3378"/>
    <w:rsid w:val="00252DDF"/>
    <w:rsid w:val="00432428"/>
    <w:rsid w:val="004C67B8"/>
    <w:rsid w:val="00676A80"/>
    <w:rsid w:val="007715BE"/>
    <w:rsid w:val="007931A0"/>
    <w:rsid w:val="007E3207"/>
    <w:rsid w:val="00A606B7"/>
    <w:rsid w:val="00BF5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957BF"/>
  <w15:docId w15:val="{30C06B11-BFAE-224D-8D40-6BEF77B6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80"/>
    <w:pPr>
      <w:spacing w:before="240" w:after="240" w:line="240" w:lineRule="auto"/>
    </w:pPr>
    <w:rPr>
      <w:rFonts w:ascii="Arial" w:eastAsia="Calibri"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Numberinglevel2">
    <w:name w:val="1.1 Numbering level 2"/>
    <w:basedOn w:val="Normal"/>
    <w:link w:val="11Numberinglevel2Char"/>
    <w:qFormat/>
    <w:rsid w:val="00676A80"/>
    <w:pPr>
      <w:numPr>
        <w:ilvl w:val="1"/>
        <w:numId w:val="2"/>
      </w:numPr>
      <w:ind w:left="709" w:hanging="709"/>
    </w:pPr>
    <w:rPr>
      <w:lang w:val="en-US" w:eastAsia="ja-JP"/>
    </w:rPr>
  </w:style>
  <w:style w:type="character" w:customStyle="1" w:styleId="11Numberinglevel2Char">
    <w:name w:val="1.1 Numbering level 2 Char"/>
    <w:link w:val="11Numberinglevel2"/>
    <w:rsid w:val="00676A80"/>
    <w:rPr>
      <w:rFonts w:ascii="Arial" w:eastAsia="Calibri" w:hAnsi="Arial" w:cs="Times New Roman"/>
      <w:szCs w:val="24"/>
      <w:lang w:val="en-US" w:eastAsia="ja-JP"/>
    </w:rPr>
  </w:style>
  <w:style w:type="paragraph" w:styleId="Header">
    <w:name w:val="header"/>
    <w:basedOn w:val="Normal"/>
    <w:link w:val="HeaderChar"/>
    <w:uiPriority w:val="99"/>
    <w:unhideWhenUsed/>
    <w:rsid w:val="00676A80"/>
    <w:pPr>
      <w:tabs>
        <w:tab w:val="center" w:pos="4513"/>
        <w:tab w:val="right" w:pos="9026"/>
      </w:tabs>
      <w:spacing w:after="0"/>
    </w:pPr>
  </w:style>
  <w:style w:type="character" w:customStyle="1" w:styleId="HeaderChar">
    <w:name w:val="Header Char"/>
    <w:basedOn w:val="DefaultParagraphFont"/>
    <w:link w:val="Header"/>
    <w:uiPriority w:val="99"/>
    <w:rsid w:val="00676A80"/>
    <w:rPr>
      <w:rFonts w:ascii="Arial" w:eastAsia="Calibri" w:hAnsi="Arial" w:cs="Times New Roman"/>
      <w:szCs w:val="24"/>
      <w:lang w:eastAsia="en-GB"/>
    </w:rPr>
  </w:style>
  <w:style w:type="paragraph" w:styleId="Footer">
    <w:name w:val="footer"/>
    <w:basedOn w:val="Normal"/>
    <w:link w:val="FooterChar"/>
    <w:uiPriority w:val="99"/>
    <w:unhideWhenUsed/>
    <w:rsid w:val="00676A80"/>
    <w:pPr>
      <w:tabs>
        <w:tab w:val="center" w:pos="4513"/>
        <w:tab w:val="right" w:pos="9026"/>
      </w:tabs>
      <w:spacing w:after="0"/>
    </w:pPr>
  </w:style>
  <w:style w:type="character" w:customStyle="1" w:styleId="FooterChar">
    <w:name w:val="Footer Char"/>
    <w:basedOn w:val="DefaultParagraphFont"/>
    <w:link w:val="Footer"/>
    <w:uiPriority w:val="99"/>
    <w:rsid w:val="00676A80"/>
    <w:rPr>
      <w:rFonts w:ascii="Arial" w:eastAsia="Calibri" w:hAnsi="Arial" w:cs="Times New Roman"/>
      <w:szCs w:val="24"/>
      <w:lang w:eastAsia="en-GB"/>
    </w:rPr>
  </w:style>
  <w:style w:type="character" w:styleId="Hyperlink">
    <w:name w:val="Hyperlink"/>
    <w:uiPriority w:val="99"/>
    <w:rsid w:val="00676A80"/>
    <w:rPr>
      <w:color w:val="0000FF"/>
      <w:u w:val="single"/>
    </w:rPr>
  </w:style>
  <w:style w:type="paragraph" w:styleId="TOC1">
    <w:name w:val="toc 1"/>
    <w:basedOn w:val="Normal"/>
    <w:next w:val="Normal"/>
    <w:autoRedefine/>
    <w:uiPriority w:val="39"/>
    <w:unhideWhenUsed/>
    <w:rsid w:val="00676A80"/>
    <w:pPr>
      <w:tabs>
        <w:tab w:val="right" w:leader="dot" w:pos="9736"/>
      </w:tabs>
      <w:ind w:left="567" w:hanging="567"/>
    </w:pPr>
  </w:style>
  <w:style w:type="paragraph" w:customStyle="1" w:styleId="BulletedListLevel1">
    <w:name w:val="Bulleted List Level 1"/>
    <w:basedOn w:val="Normal"/>
    <w:link w:val="BulletedListLevel1Char"/>
    <w:qFormat/>
    <w:rsid w:val="00676A80"/>
    <w:pPr>
      <w:numPr>
        <w:numId w:val="1"/>
      </w:numPr>
      <w:spacing w:before="120" w:after="120" w:line="264" w:lineRule="auto"/>
    </w:pPr>
    <w:rPr>
      <w:rFonts w:cs="Arial"/>
    </w:rPr>
  </w:style>
  <w:style w:type="character" w:customStyle="1" w:styleId="BulletedListLevel1Char">
    <w:name w:val="Bulleted List Level 1 Char"/>
    <w:link w:val="BulletedListLevel1"/>
    <w:rsid w:val="00676A80"/>
    <w:rPr>
      <w:rFonts w:ascii="Arial" w:eastAsia="Calibri" w:hAnsi="Arial" w:cs="Arial"/>
      <w:szCs w:val="24"/>
      <w:lang w:eastAsia="en-GB"/>
    </w:rPr>
  </w:style>
  <w:style w:type="paragraph" w:customStyle="1" w:styleId="1NumberingHeadingLevel1">
    <w:name w:val="1 Numbering Heading Level 1"/>
    <w:basedOn w:val="Normal"/>
    <w:next w:val="11Numberinglevel2"/>
    <w:link w:val="1NumberingHeadingLevel1Char"/>
    <w:qFormat/>
    <w:rsid w:val="00676A80"/>
    <w:pPr>
      <w:numPr>
        <w:numId w:val="2"/>
      </w:numPr>
    </w:pPr>
    <w:rPr>
      <w:b/>
      <w:sz w:val="28"/>
    </w:rPr>
  </w:style>
  <w:style w:type="character" w:customStyle="1" w:styleId="1NumberingHeadingLevel1Char">
    <w:name w:val="1 Numbering Heading Level 1 Char"/>
    <w:link w:val="1NumberingHeadingLevel1"/>
    <w:rsid w:val="00676A80"/>
    <w:rPr>
      <w:rFonts w:ascii="Arial" w:eastAsia="Calibri" w:hAnsi="Arial" w:cs="Times New Roman"/>
      <w:b/>
      <w:sz w:val="28"/>
      <w:szCs w:val="24"/>
      <w:lang w:eastAsia="en-GB"/>
    </w:rPr>
  </w:style>
  <w:style w:type="paragraph" w:customStyle="1" w:styleId="111Numberinglevel3">
    <w:name w:val="1.1.1 Numbering level 3"/>
    <w:basedOn w:val="11Numberinglevel2"/>
    <w:link w:val="111Numberinglevel3Char"/>
    <w:qFormat/>
    <w:rsid w:val="00676A80"/>
    <w:pPr>
      <w:numPr>
        <w:ilvl w:val="2"/>
      </w:numPr>
      <w:ind w:left="709" w:hanging="709"/>
    </w:pPr>
  </w:style>
  <w:style w:type="character" w:customStyle="1" w:styleId="111Numberinglevel3Char">
    <w:name w:val="1.1.1 Numbering level 3 Char"/>
    <w:link w:val="111Numberinglevel3"/>
    <w:rsid w:val="00676A80"/>
    <w:rPr>
      <w:rFonts w:ascii="Arial" w:eastAsia="Calibri" w:hAnsi="Arial" w:cs="Times New Roman"/>
      <w:szCs w:val="24"/>
      <w:lang w:val="en-US" w:eastAsia="ja-JP"/>
    </w:rPr>
  </w:style>
  <w:style w:type="paragraph" w:customStyle="1" w:styleId="2Footer">
    <w:name w:val="2 Footer"/>
    <w:basedOn w:val="Normal"/>
    <w:link w:val="2FooterChar"/>
    <w:qFormat/>
    <w:rsid w:val="00676A80"/>
    <w:pPr>
      <w:spacing w:before="60" w:after="60"/>
    </w:pPr>
    <w:rPr>
      <w:sz w:val="18"/>
      <w:lang w:val="en-US"/>
    </w:rPr>
  </w:style>
  <w:style w:type="character" w:customStyle="1" w:styleId="2FooterChar">
    <w:name w:val="2 Footer Char"/>
    <w:link w:val="2Footer"/>
    <w:rsid w:val="00676A80"/>
    <w:rPr>
      <w:rFonts w:ascii="Arial" w:eastAsia="Calibri" w:hAnsi="Arial" w:cs="Times New Roman"/>
      <w:sz w:val="18"/>
      <w:szCs w:val="24"/>
      <w:lang w:val="en-US" w:eastAsia="en-GB"/>
    </w:rPr>
  </w:style>
  <w:style w:type="paragraph" w:customStyle="1" w:styleId="16ptHeading">
    <w:name w:val="16pt Heading"/>
    <w:basedOn w:val="Normal"/>
    <w:link w:val="16ptHeadingChar"/>
    <w:qFormat/>
    <w:rsid w:val="00676A80"/>
    <w:rPr>
      <w:b/>
      <w:sz w:val="32"/>
    </w:rPr>
  </w:style>
  <w:style w:type="paragraph" w:customStyle="1" w:styleId="2DocTitle">
    <w:name w:val="2 Doc Title"/>
    <w:basedOn w:val="Title"/>
    <w:link w:val="2DocTitleChar"/>
    <w:qFormat/>
    <w:rsid w:val="00676A80"/>
    <w:pPr>
      <w:pBdr>
        <w:bottom w:val="none" w:sz="0" w:space="0" w:color="auto"/>
      </w:pBdr>
      <w:spacing w:before="3840" w:after="60"/>
      <w:contextualSpacing w:val="0"/>
      <w:jc w:val="center"/>
      <w:outlineLvl w:val="0"/>
    </w:pPr>
    <w:rPr>
      <w:rFonts w:ascii="Arial" w:eastAsia="Times New Roman" w:hAnsi="Arial" w:cs="Arial"/>
      <w:b/>
      <w:bCs/>
      <w:color w:val="auto"/>
      <w:spacing w:val="0"/>
      <w:sz w:val="56"/>
      <w:szCs w:val="32"/>
    </w:rPr>
  </w:style>
  <w:style w:type="character" w:customStyle="1" w:styleId="16ptHeadingChar">
    <w:name w:val="16pt Heading Char"/>
    <w:link w:val="16ptHeading"/>
    <w:rsid w:val="00676A80"/>
    <w:rPr>
      <w:rFonts w:ascii="Arial" w:eastAsia="Calibri" w:hAnsi="Arial" w:cs="Times New Roman"/>
      <w:b/>
      <w:sz w:val="32"/>
      <w:szCs w:val="24"/>
      <w:lang w:eastAsia="en-GB"/>
    </w:rPr>
  </w:style>
  <w:style w:type="character" w:customStyle="1" w:styleId="2DocTitleChar">
    <w:name w:val="2 Doc Title Char"/>
    <w:link w:val="2DocTitle"/>
    <w:rsid w:val="00676A80"/>
    <w:rPr>
      <w:rFonts w:ascii="Arial" w:eastAsia="Times New Roman" w:hAnsi="Arial" w:cs="Arial"/>
      <w:b/>
      <w:bCs/>
      <w:kern w:val="28"/>
      <w:sz w:val="56"/>
      <w:szCs w:val="32"/>
      <w:lang w:eastAsia="en-GB"/>
    </w:rPr>
  </w:style>
  <w:style w:type="paragraph" w:styleId="Title">
    <w:name w:val="Title"/>
    <w:basedOn w:val="Normal"/>
    <w:next w:val="Normal"/>
    <w:link w:val="TitleChar"/>
    <w:uiPriority w:val="10"/>
    <w:qFormat/>
    <w:rsid w:val="00676A8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6A80"/>
    <w:rPr>
      <w:rFonts w:asciiTheme="majorHAnsi" w:eastAsiaTheme="majorEastAsia" w:hAnsiTheme="majorHAnsi" w:cstheme="majorBidi"/>
      <w:color w:val="17365D" w:themeColor="text2" w:themeShade="BF"/>
      <w:spacing w:val="5"/>
      <w:kern w:val="28"/>
      <w:sz w:val="52"/>
      <w:szCs w:val="52"/>
      <w:lang w:eastAsia="en-GB"/>
    </w:rPr>
  </w:style>
  <w:style w:type="paragraph" w:styleId="BalloonText">
    <w:name w:val="Balloon Text"/>
    <w:basedOn w:val="Normal"/>
    <w:link w:val="BalloonTextChar"/>
    <w:uiPriority w:val="99"/>
    <w:semiHidden/>
    <w:unhideWhenUsed/>
    <w:rsid w:val="00676A8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80"/>
    <w:rPr>
      <w:rFonts w:ascii="Tahoma" w:eastAsia="Calibri"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Andrina Flinders</cp:lastModifiedBy>
  <cp:revision>8</cp:revision>
  <cp:lastPrinted>2019-07-19T14:36:00Z</cp:lastPrinted>
  <dcterms:created xsi:type="dcterms:W3CDTF">2019-07-19T12:34:00Z</dcterms:created>
  <dcterms:modified xsi:type="dcterms:W3CDTF">2025-08-05T10:54:00Z</dcterms:modified>
</cp:coreProperties>
</file>